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E1" w:rsidRDefault="001368F5" w:rsidP="00561C15">
      <w:pPr>
        <w:pStyle w:val="PaperTitle"/>
      </w:pPr>
      <w:r>
        <w:t>T</w:t>
      </w:r>
      <w:r w:rsidR="009B6EE1">
        <w:t>he MINER</w:t>
      </w:r>
      <w:r w:rsidR="003D01CD">
        <w:sym w:font="Symbol" w:char="F06E"/>
      </w:r>
      <w:r w:rsidR="009B6EE1">
        <w:t>A Experiment</w:t>
      </w:r>
    </w:p>
    <w:p w:rsidR="00B84AE1" w:rsidRDefault="000F084E" w:rsidP="000F084E">
      <w:pPr>
        <w:pStyle w:val="PaperAuthor"/>
      </w:pPr>
      <w:r>
        <w:t>Deborah A. Harris</w:t>
      </w:r>
      <w:r>
        <w:rPr>
          <w:vertAlign w:val="superscript"/>
        </w:rPr>
        <w:t>1</w:t>
      </w:r>
      <w:r>
        <w:t xml:space="preserve"> and </w:t>
      </w:r>
      <w:r w:rsidR="009B6EE1">
        <w:t>Sacha Kopp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="009B6EE1">
        <w:t xml:space="preserve">on behalf of the </w:t>
      </w:r>
      <w:r w:rsidR="003D01CD">
        <w:t xml:space="preserve">MINERνA </w:t>
      </w:r>
      <w:r w:rsidR="009B6EE1">
        <w:t>collaboration</w:t>
      </w:r>
    </w:p>
    <w:p w:rsidR="00075DB9" w:rsidRDefault="000F084E" w:rsidP="00075DB9">
      <w:pPr>
        <w:pStyle w:val="AuthorAffiliation"/>
      </w:pPr>
      <w:r>
        <w:rPr>
          <w:vertAlign w:val="superscript"/>
        </w:rPr>
        <w:t>1</w:t>
      </w:r>
      <w:r w:rsidR="00075DB9">
        <w:t>Fermi National Accelerator Laboratory, Batavia, Illinois 60510 USA</w:t>
      </w:r>
    </w:p>
    <w:p w:rsidR="000F084E" w:rsidRDefault="000F084E" w:rsidP="00075DB9">
      <w:pPr>
        <w:pStyle w:val="AuthorAffiliation"/>
      </w:pPr>
      <w:r>
        <w:rPr>
          <w:vertAlign w:val="superscript"/>
        </w:rPr>
        <w:t>2</w:t>
      </w:r>
      <w:r>
        <w:t>University of Texas at Austin, Austin, Texas</w:t>
      </w:r>
    </w:p>
    <w:p w:rsidR="003D01CD" w:rsidRDefault="00B84AE1">
      <w:pPr>
        <w:pStyle w:val="Abstract"/>
      </w:pPr>
      <w:r>
        <w:rPr>
          <w:b/>
        </w:rPr>
        <w:t>Abstract.</w:t>
      </w:r>
      <w:r>
        <w:t xml:space="preserve">  </w:t>
      </w:r>
      <w:r w:rsidR="002E1014">
        <w:t>The</w:t>
      </w:r>
      <w:r w:rsidR="009B6EE1">
        <w:t xml:space="preserve"> MINER</w:t>
      </w:r>
      <w:r w:rsidR="003D01CD">
        <w:sym w:font="Symbol" w:char="F06E"/>
      </w:r>
      <w:r w:rsidR="009B6EE1">
        <w:t xml:space="preserve">A experiment is a dedicated cross-section experiment whose aim is to </w:t>
      </w:r>
      <w:r w:rsidR="003D01CD">
        <w:t xml:space="preserve">measure </w:t>
      </w:r>
      <w:r w:rsidR="009B6EE1">
        <w:t xml:space="preserve">neutrino </w:t>
      </w:r>
      <w:r w:rsidR="003D01CD">
        <w:t xml:space="preserve">cross sections for inclusive and exclusive final states on several nuclei.  </w:t>
      </w:r>
      <w:r w:rsidR="00B81984">
        <w:t>The detector is fully commissioned</w:t>
      </w:r>
      <w:r w:rsidR="009B6EE1">
        <w:t xml:space="preserve"> and began running in March 2010.  As a dedicated cross-section experiment, </w:t>
      </w:r>
      <w:r w:rsidR="003D01CD">
        <w:t xml:space="preserve">MINERνA </w:t>
      </w:r>
      <w:r w:rsidR="009B6EE1">
        <w:t>has a particular</w:t>
      </w:r>
      <w:r w:rsidR="003D01CD">
        <w:t xml:space="preserve"> need to know the incident</w:t>
      </w:r>
      <w:r w:rsidR="009B6EE1">
        <w:t xml:space="preserve"> neutrino flux: </w:t>
      </w:r>
      <w:r w:rsidR="00B81984">
        <w:t xml:space="preserve"> both the absolute level and the</w:t>
      </w:r>
      <w:r w:rsidR="009B6EE1">
        <w:t xml:space="preserve"> energy dependence.  In these proceedings we describe the </w:t>
      </w:r>
      <w:r w:rsidR="003D01CD">
        <w:t xml:space="preserve">MINERνA </w:t>
      </w:r>
      <w:r w:rsidR="009B6EE1">
        <w:t>detector</w:t>
      </w:r>
      <w:r w:rsidR="00515BC2">
        <w:t xml:space="preserve">, </w:t>
      </w:r>
      <w:r w:rsidR="009B6EE1">
        <w:t>give an update on the experimen</w:t>
      </w:r>
      <w:r w:rsidR="00B81984">
        <w:t xml:space="preserve">tal status, </w:t>
      </w:r>
      <w:r w:rsidR="003D01CD">
        <w:t xml:space="preserve">and discuss the means to determine the neutrino flux. </w:t>
      </w:r>
    </w:p>
    <w:p w:rsidR="00B84AE1" w:rsidRDefault="00B84AE1">
      <w:pPr>
        <w:pStyle w:val="Abstract"/>
      </w:pPr>
    </w:p>
    <w:p w:rsidR="00B84AE1" w:rsidRPr="003B6550" w:rsidRDefault="00B84AE1">
      <w:pPr>
        <w:pStyle w:val="Keywords"/>
        <w:spacing w:before="120" w:after="0"/>
        <w:rPr>
          <w:sz w:val="18"/>
          <w:szCs w:val="18"/>
        </w:rPr>
      </w:pPr>
      <w:r w:rsidRPr="003B6550">
        <w:rPr>
          <w:sz w:val="18"/>
          <w:szCs w:val="18"/>
        </w:rPr>
        <w:t xml:space="preserve">Keywords: </w:t>
      </w:r>
      <w:r w:rsidR="004C22B2" w:rsidRPr="003B6550">
        <w:rPr>
          <w:b w:val="0"/>
          <w:sz w:val="18"/>
          <w:szCs w:val="18"/>
        </w:rPr>
        <w:t xml:space="preserve">Neutrino mass and mixing, </w:t>
      </w:r>
    </w:p>
    <w:p w:rsidR="00B84AE1" w:rsidRPr="003B6550" w:rsidRDefault="00B84AE1">
      <w:pPr>
        <w:pStyle w:val="PACS"/>
        <w:spacing w:before="0" w:after="360"/>
        <w:rPr>
          <w:sz w:val="18"/>
          <w:szCs w:val="18"/>
        </w:rPr>
      </w:pPr>
      <w:r w:rsidRPr="003B6550">
        <w:rPr>
          <w:sz w:val="18"/>
          <w:szCs w:val="18"/>
        </w:rPr>
        <w:t xml:space="preserve">PACS: </w:t>
      </w:r>
      <w:r w:rsidR="004C22B2" w:rsidRPr="003B6550">
        <w:rPr>
          <w:b w:val="0"/>
          <w:sz w:val="18"/>
          <w:szCs w:val="18"/>
        </w:rPr>
        <w:t>14.60Pq</w:t>
      </w:r>
      <w:r w:rsidR="004C22B2" w:rsidRPr="003B6550">
        <w:rPr>
          <w:sz w:val="18"/>
          <w:szCs w:val="18"/>
        </w:rPr>
        <w:t xml:space="preserve"> </w:t>
      </w:r>
    </w:p>
    <w:p w:rsidR="00B84AE1" w:rsidRDefault="00B84AE1">
      <w:pPr>
        <w:sectPr w:rsidR="00B84AE1">
          <w:pgSz w:w="12240" w:h="15840"/>
          <w:pgMar w:top="1454" w:right="1469" w:bottom="1454" w:left="1469" w:header="720" w:footer="720" w:gutter="0"/>
          <w:cols w:space="720"/>
        </w:sectPr>
      </w:pPr>
    </w:p>
    <w:p w:rsidR="00B84AE1" w:rsidRDefault="00B84AE1">
      <w:pPr>
        <w:pStyle w:val="INTRODUCTION"/>
      </w:pPr>
      <w:r>
        <w:lastRenderedPageBreak/>
        <w:t>Introduction</w:t>
      </w:r>
    </w:p>
    <w:p w:rsidR="009B6EE1" w:rsidRDefault="009B6EE1">
      <w:pPr>
        <w:pStyle w:val="Paragraph"/>
      </w:pPr>
      <w:r>
        <w:t xml:space="preserve">The </w:t>
      </w:r>
      <w:r w:rsidR="003D01CD">
        <w:t xml:space="preserve">MINERνA </w:t>
      </w:r>
      <w:r>
        <w:t>experiment</w:t>
      </w:r>
      <w:r w:rsidR="000665DB">
        <w:t xml:space="preserve"> was proposed to </w:t>
      </w:r>
      <w:r w:rsidR="003D01CD">
        <w:t>improve our knowledge of neutrino-nucleus cross sections.</w:t>
      </w:r>
      <w:r>
        <w:t xml:space="preserve"> </w:t>
      </w:r>
      <w:r w:rsidR="00876F40">
        <w:t>Although t</w:t>
      </w:r>
      <w:r>
        <w:t xml:space="preserve">he field of neutrino oscillation physics is </w:t>
      </w:r>
      <w:r w:rsidR="003D01CD">
        <w:t xml:space="preserve">making significant advances </w:t>
      </w:r>
      <w:r w:rsidR="00876F40">
        <w:t xml:space="preserve">in the determination of </w:t>
      </w:r>
      <w:r>
        <w:t>the neutrino mass and mixin</w:t>
      </w:r>
      <w:r w:rsidR="000665DB">
        <w:t xml:space="preserve">g matrices, the specific processes that provide </w:t>
      </w:r>
      <w:r>
        <w:t xml:space="preserve">the signal and background channels for </w:t>
      </w:r>
      <w:r w:rsidR="00876F40">
        <w:t>oscillation</w:t>
      </w:r>
      <w:r>
        <w:t xml:space="preserve"> experiments are</w:t>
      </w:r>
      <w:r w:rsidR="00876F40">
        <w:t xml:space="preserve"> often</w:t>
      </w:r>
      <w:r>
        <w:t xml:space="preserve"> poorly measured, </w:t>
      </w:r>
      <w:r w:rsidR="00876F40">
        <w:t xml:space="preserve">and there are inconsistent results from </w:t>
      </w:r>
      <w:r>
        <w:t xml:space="preserve">various experiments.  Furthermore, an important feature of oscillation experiments is the requirement </w:t>
      </w:r>
      <w:r w:rsidR="00876F40">
        <w:t>that</w:t>
      </w:r>
      <w:r>
        <w:t xml:space="preserve"> oscillation probabilities </w:t>
      </w:r>
      <w:r w:rsidR="00876F40">
        <w:t>be measured for</w:t>
      </w:r>
      <w:r>
        <w:t xml:space="preserve"> several neutrino energies.  This feature </w:t>
      </w:r>
      <w:r w:rsidR="00876F40">
        <w:t xml:space="preserve">requires </w:t>
      </w:r>
      <w:r>
        <w:t>a robust model of the relationship between the initial neutrino energy as it enters the detector and the final visible energy in that detector.  Th</w:t>
      </w:r>
      <w:r w:rsidR="00876F40">
        <w:t>e</w:t>
      </w:r>
      <w:r>
        <w:t xml:space="preserve"> model must incorporate the effects of the final state particles interacting inside the nucleus where they were created</w:t>
      </w:r>
      <w:r w:rsidR="00876F40">
        <w:t>.</w:t>
      </w:r>
      <w:r>
        <w:t xml:space="preserve"> </w:t>
      </w:r>
      <w:r w:rsidR="00876F40">
        <w:t>Such interactions are</w:t>
      </w:r>
      <w:r>
        <w:t xml:space="preserve"> </w:t>
      </w:r>
      <w:r w:rsidR="006F6876">
        <w:t xml:space="preserve">currently very poorly constrained by neutrino data.  </w:t>
      </w:r>
      <w:r>
        <w:t xml:space="preserve">  </w:t>
      </w:r>
    </w:p>
    <w:p w:rsidR="009B6EE1" w:rsidRDefault="009B6EE1">
      <w:pPr>
        <w:pStyle w:val="Paragraph"/>
      </w:pPr>
      <w:r>
        <w:t xml:space="preserve">Previous neutrino </w:t>
      </w:r>
      <w:r w:rsidR="006F6876">
        <w:t>cross section experiments were plagued by low statistics and by significant uncertainties on the incoming neutrino flux.</w:t>
      </w:r>
      <w:r w:rsidR="006D3CFA">
        <w:t xml:space="preserve">  Current data, </w:t>
      </w:r>
      <w:r w:rsidR="006F6876">
        <w:t>from SciBooNE</w:t>
      </w:r>
      <w:r w:rsidR="00B81984" w:rsidRPr="006D3CFA">
        <w:t>[</w:t>
      </w:r>
      <w:r w:rsidR="009B6725" w:rsidRPr="006D3CFA">
        <w:t>1]</w:t>
      </w:r>
      <w:r w:rsidR="006F6876">
        <w:t>, MiniBooNE</w:t>
      </w:r>
      <w:r w:rsidR="00B81984" w:rsidRPr="006D3CFA">
        <w:t>[</w:t>
      </w:r>
      <w:r w:rsidR="006D3CFA">
        <w:t>2]</w:t>
      </w:r>
      <w:r w:rsidR="006F6876">
        <w:t xml:space="preserve"> and NOMAD</w:t>
      </w:r>
      <w:r w:rsidR="0048402E">
        <w:t xml:space="preserve"> </w:t>
      </w:r>
      <w:r w:rsidR="0048402E" w:rsidRPr="006D3CFA">
        <w:t>[</w:t>
      </w:r>
      <w:r w:rsidR="009B6725" w:rsidRPr="006D3CFA">
        <w:t>3]</w:t>
      </w:r>
      <w:r w:rsidR="006F6876">
        <w:t xml:space="preserve">, have high statistical precision yet show inconsistent results between the low and high energy regimes.  </w:t>
      </w:r>
    </w:p>
    <w:p w:rsidR="006F6876" w:rsidRDefault="003D01CD">
      <w:pPr>
        <w:pStyle w:val="Paragraph"/>
      </w:pPr>
      <w:r>
        <w:lastRenderedPageBreak/>
        <w:t xml:space="preserve">MINERνA </w:t>
      </w:r>
      <w:r w:rsidR="006F6876">
        <w:t xml:space="preserve">is designed to </w:t>
      </w:r>
      <w:r w:rsidR="00DB10B7">
        <w:t xml:space="preserve">significantly improve our </w:t>
      </w:r>
      <w:r w:rsidR="0048402E">
        <w:t>understanding of</w:t>
      </w:r>
      <w:r w:rsidR="006F6876">
        <w:t xml:space="preserve"> neutrino interactions.  The detector is placed in the NuMI </w:t>
      </w:r>
      <w:r w:rsidR="00876F40">
        <w:t>N</w:t>
      </w:r>
      <w:r w:rsidR="006F6876">
        <w:t xml:space="preserve">ear Detector </w:t>
      </w:r>
      <w:r w:rsidR="00876F40">
        <w:t>H</w:t>
      </w:r>
      <w:r w:rsidR="006F6876">
        <w:t>all</w:t>
      </w:r>
      <w:r w:rsidR="00876F40">
        <w:t>,</w:t>
      </w:r>
      <w:r w:rsidR="006F6876">
        <w:t xml:space="preserve"> which </w:t>
      </w:r>
      <w:r w:rsidR="00876F40">
        <w:t xml:space="preserve">has the highest </w:t>
      </w:r>
      <w:r w:rsidR="006F6876">
        <w:t>neutrino flux</w:t>
      </w:r>
      <w:r w:rsidR="00876F40">
        <w:t xml:space="preserve"> in the world.  This will provide excellent statistical precision </w:t>
      </w:r>
      <w:r w:rsidR="006F6876">
        <w:t>even for MINER</w:t>
      </w:r>
      <w:r>
        <w:sym w:font="Symbol" w:char="F06E"/>
      </w:r>
      <w:r w:rsidR="006F6876">
        <w:t>A’s modest detector size.  The flexibility of the NuMI beaml</w:t>
      </w:r>
      <w:r w:rsidR="00B81984">
        <w:t xml:space="preserve">ine means that </w:t>
      </w:r>
      <w:r>
        <w:t xml:space="preserve">MINERνA </w:t>
      </w:r>
      <w:r w:rsidR="00B81984">
        <w:t>should</w:t>
      </w:r>
      <w:r w:rsidR="006F6876">
        <w:t xml:space="preserve"> be able to achieve new precision on </w:t>
      </w:r>
      <w:r w:rsidR="00876F40">
        <w:t xml:space="preserve">the flux determination </w:t>
      </w:r>
      <w:r w:rsidR="00B81984">
        <w:t xml:space="preserve">through an </w:t>
      </w:r>
      <w:r w:rsidR="006F6876">
        <w:t xml:space="preserve">approach which involves making </w:t>
      </w:r>
      <w:r w:rsidR="00B81984">
        <w:t xml:space="preserve">neutrino </w:t>
      </w:r>
      <w:r w:rsidR="006F6876">
        <w:t xml:space="preserve">measurements in several different neutrino beam configurations.  </w:t>
      </w:r>
    </w:p>
    <w:p w:rsidR="006F6876" w:rsidRDefault="006F6876">
      <w:pPr>
        <w:pStyle w:val="Paragraph"/>
      </w:pPr>
      <w:r>
        <w:t xml:space="preserve">In the following section we describe the NuMI beamline that makes this experiment possible, as well as the techniques </w:t>
      </w:r>
      <w:r w:rsidR="003D01CD">
        <w:t xml:space="preserve">MINERνA </w:t>
      </w:r>
      <w:r>
        <w:t xml:space="preserve">plans to use to measure </w:t>
      </w:r>
      <w:r w:rsidR="00876F40">
        <w:t xml:space="preserve">the NuMI </w:t>
      </w:r>
      <w:r>
        <w:t>flux.</w:t>
      </w:r>
      <w:r w:rsidR="0086154E">
        <w:t xml:space="preserve">  </w:t>
      </w:r>
      <w:r w:rsidR="00876F40">
        <w:t>We will</w:t>
      </w:r>
      <w:r>
        <w:t xml:space="preserve"> describe</w:t>
      </w:r>
      <w:r w:rsidR="00876F40">
        <w:t xml:space="preserve"> the</w:t>
      </w:r>
      <w:r>
        <w:t xml:space="preserve"> </w:t>
      </w:r>
      <w:r w:rsidR="003D01CD">
        <w:t xml:space="preserve">MINERνA </w:t>
      </w:r>
      <w:r>
        <w:t xml:space="preserve">detector itself, followed by </w:t>
      </w:r>
      <w:r w:rsidR="00876F40">
        <w:t xml:space="preserve">a description of the </w:t>
      </w:r>
      <w:r>
        <w:t>current detector performance</w:t>
      </w:r>
      <w:r w:rsidR="00B81984">
        <w:t xml:space="preserve"> and run plan</w:t>
      </w:r>
      <w:r>
        <w:t xml:space="preserve">.  </w:t>
      </w:r>
    </w:p>
    <w:p w:rsidR="006F6876" w:rsidRDefault="006F6876">
      <w:pPr>
        <w:pStyle w:val="Paragraph"/>
      </w:pPr>
    </w:p>
    <w:p w:rsidR="00B84AE1" w:rsidRDefault="006F6876">
      <w:pPr>
        <w:pStyle w:val="Heading1"/>
      </w:pPr>
      <w:r>
        <w:t>NuMI Neutrino Beamline</w:t>
      </w:r>
    </w:p>
    <w:p w:rsidR="006F6876" w:rsidRDefault="002D0898" w:rsidP="00002307">
      <w:pPr>
        <w:pStyle w:val="Paragraph"/>
      </w:pPr>
      <w:r>
        <w:t>Neutrinos are produced in t</w:t>
      </w:r>
      <w:r w:rsidR="006F6876">
        <w:t xml:space="preserve">he NuMI beamline </w:t>
      </w:r>
      <w:r w:rsidR="000665DB" w:rsidRPr="00370D0A">
        <w:t>[</w:t>
      </w:r>
      <w:r w:rsidR="009B6725" w:rsidRPr="00370D0A">
        <w:t>4]</w:t>
      </w:r>
      <w:r w:rsidR="000665DB" w:rsidRPr="000665DB">
        <w:rPr>
          <w:color w:val="FF0000"/>
        </w:rPr>
        <w:t xml:space="preserve"> </w:t>
      </w:r>
      <w:r w:rsidR="00E10E16">
        <w:t>by focusing</w:t>
      </w:r>
      <w:r>
        <w:rPr>
          <w:color w:val="FF0000"/>
        </w:rPr>
        <w:t xml:space="preserve"> </w:t>
      </w:r>
      <w:r w:rsidR="006F6876">
        <w:t>120</w:t>
      </w:r>
      <w:r w:rsidR="00876F40">
        <w:t xml:space="preserve"> </w:t>
      </w:r>
      <w:r w:rsidR="006F6876">
        <w:t xml:space="preserve">GeV protons from Fermilab’s Main Injector </w:t>
      </w:r>
      <w:r>
        <w:t>on</w:t>
      </w:r>
      <w:r w:rsidR="006F6876">
        <w:t xml:space="preserve"> a graphite target to produce charged pions and kaons.  Those mesons are focused by a two-horn system, which is follow</w:t>
      </w:r>
      <w:r w:rsidR="00002307">
        <w:t xml:space="preserve">ed by a 675m </w:t>
      </w:r>
      <w:r w:rsidR="00B81984">
        <w:t xml:space="preserve">long </w:t>
      </w:r>
      <w:r w:rsidR="00002307">
        <w:t>helium-filled decay pipe</w:t>
      </w:r>
      <w:r w:rsidR="006F6876">
        <w:t xml:space="preserve">.  </w:t>
      </w:r>
      <w:r w:rsidR="00A554F6">
        <w:t xml:space="preserve">A hadron absorber is located at the end of the decay pipe to </w:t>
      </w:r>
      <w:r>
        <w:t>stop</w:t>
      </w:r>
      <w:r w:rsidR="00A554F6">
        <w:t xml:space="preserve"> protons </w:t>
      </w:r>
      <w:r>
        <w:t xml:space="preserve">which did not interact and the produced hadron </w:t>
      </w:r>
      <w:r w:rsidR="00A554F6">
        <w:t>shower</w:t>
      </w:r>
      <w:r>
        <w:t>s.</w:t>
      </w:r>
      <w:r w:rsidR="00A554F6">
        <w:t xml:space="preserve"> </w:t>
      </w:r>
      <w:r w:rsidR="00B81984">
        <w:t xml:space="preserve">A </w:t>
      </w:r>
      <w:r w:rsidR="00B81984">
        <w:lastRenderedPageBreak/>
        <w:t xml:space="preserve">monitoring system for hadrons </w:t>
      </w:r>
      <w:r w:rsidR="00BE403E">
        <w:t xml:space="preserve">is </w:t>
      </w:r>
      <w:r w:rsidR="00B81984">
        <w:t xml:space="preserve">located </w:t>
      </w:r>
      <w:r w:rsidR="00002307">
        <w:t>upstream</w:t>
      </w:r>
      <w:r w:rsidR="00B81984">
        <w:t xml:space="preserve"> </w:t>
      </w:r>
      <w:r w:rsidR="00BE403E">
        <w:t xml:space="preserve">and for muons is located </w:t>
      </w:r>
      <w:r w:rsidR="00B81984">
        <w:t xml:space="preserve">downstream of </w:t>
      </w:r>
      <w:r w:rsidR="00CD18E8">
        <w:t>the absorber</w:t>
      </w:r>
      <w:r w:rsidR="00BE403E">
        <w:t>, which</w:t>
      </w:r>
      <w:r w:rsidR="00CD18E8">
        <w:t xml:space="preserve"> enable additional</w:t>
      </w:r>
      <w:r w:rsidR="00B81984">
        <w:t xml:space="preserve"> beamline measurements</w:t>
      </w:r>
      <w:r w:rsidR="00002307">
        <w:t xml:space="preserve">.  </w:t>
      </w:r>
      <w:r w:rsidR="00A554F6">
        <w:t xml:space="preserve">The beamline normally </w:t>
      </w:r>
      <w:r w:rsidR="00BE403E">
        <w:t>accepts</w:t>
      </w:r>
      <w:r w:rsidR="00A554F6">
        <w:t xml:space="preserve"> </w:t>
      </w:r>
      <w:r w:rsidR="00002307">
        <w:t xml:space="preserve">a proton power of </w:t>
      </w:r>
      <w:r w:rsidR="00A554F6">
        <w:t>rou</w:t>
      </w:r>
      <w:r w:rsidR="00B81984">
        <w:t>ghly 310</w:t>
      </w:r>
      <w:r>
        <w:t xml:space="preserve"> </w:t>
      </w:r>
      <w:r w:rsidR="00B81984">
        <w:t>kW, and accumulates</w:t>
      </w:r>
      <w:r w:rsidR="00A554F6">
        <w:t xml:space="preserve"> 3-4</w:t>
      </w:r>
      <w:r w:rsidR="00A554F6">
        <w:sym w:font="Symbol" w:char="F0B4"/>
      </w:r>
      <w:r w:rsidR="00A554F6">
        <w:t>10</w:t>
      </w:r>
      <w:r w:rsidR="00A554F6" w:rsidRPr="00A554F6">
        <w:rPr>
          <w:vertAlign w:val="superscript"/>
        </w:rPr>
        <w:t>20</w:t>
      </w:r>
      <w:r w:rsidR="00A554F6">
        <w:t xml:space="preserve"> protons on target</w:t>
      </w:r>
      <w:r>
        <w:t xml:space="preserve"> (POT)</w:t>
      </w:r>
      <w:r w:rsidR="00A554F6">
        <w:t xml:space="preserve"> per year.      </w:t>
      </w:r>
    </w:p>
    <w:p w:rsidR="00DC4AD4" w:rsidRDefault="00BE403E" w:rsidP="001757A6">
      <w:pPr>
        <w:pStyle w:val="Paragraph"/>
      </w:pPr>
      <w:r>
        <w:t>The</w:t>
      </w:r>
      <w:r w:rsidR="00002307">
        <w:t xml:space="preserve"> unique </w:t>
      </w:r>
      <w:r>
        <w:t>design</w:t>
      </w:r>
      <w:r w:rsidR="00002307">
        <w:t xml:space="preserve"> of the NuMI beamline</w:t>
      </w:r>
      <w:r>
        <w:t xml:space="preserve"> gives MINERνA</w:t>
      </w:r>
      <w:r w:rsidDel="00BE403E">
        <w:t xml:space="preserve"> </w:t>
      </w:r>
      <w:r>
        <w:t>the</w:t>
      </w:r>
      <w:r w:rsidR="00002307">
        <w:t xml:space="preserve"> ability to change the incident neutrino flux by </w:t>
      </w:r>
      <w:r w:rsidR="008C50CA">
        <w:t xml:space="preserve">significantly </w:t>
      </w:r>
      <w:r w:rsidR="00002307">
        <w:t xml:space="preserve">modifying the focusing geometry </w:t>
      </w:r>
      <w:r w:rsidR="008C50CA">
        <w:t xml:space="preserve">in a matter of days. </w:t>
      </w:r>
      <w:r w:rsidR="00002307">
        <w:t xml:space="preserve"> </w:t>
      </w:r>
      <w:r w:rsidR="00CD18E8">
        <w:t>By increasing the relative distance between the production target and the first focusing horn, the longitudinal momentum distribution of pions that are best focused by the horns increases</w:t>
      </w:r>
      <w:r w:rsidR="001757A6">
        <w:t>.</w:t>
      </w:r>
      <w:r w:rsidR="00DC4AD4">
        <w:t xml:space="preserve">  Figure 1 shows three different transverse and longitudinal momentum distributions for the focused pions in three different beamline configurations.  </w:t>
      </w:r>
    </w:p>
    <w:p w:rsidR="001757A6" w:rsidRDefault="001757A6" w:rsidP="001757A6">
      <w:pPr>
        <w:pStyle w:val="Paragraph"/>
      </w:pPr>
      <w:r>
        <w:t xml:space="preserve">An alternate </w:t>
      </w:r>
      <w:r w:rsidR="001B5AFD">
        <w:t>(and less unique</w:t>
      </w:r>
      <w:r>
        <w:t xml:space="preserve">) way to modify the incident neutrino flux is to change the </w:t>
      </w:r>
      <w:r w:rsidR="00DC4AD4">
        <w:t xml:space="preserve">currents in the horns. </w:t>
      </w:r>
      <w:r>
        <w:t>By reducing</w:t>
      </w:r>
      <w:r w:rsidR="00CD18E8">
        <w:t xml:space="preserve"> the </w:t>
      </w:r>
      <w:r>
        <w:t>current</w:t>
      </w:r>
      <w:r w:rsidR="00CD18E8">
        <w:t xml:space="preserve">, the transverse momentum distribution of pions that are </w:t>
      </w:r>
      <w:r>
        <w:t xml:space="preserve">best </w:t>
      </w:r>
      <w:r w:rsidR="00CD18E8">
        <w:t>fo</w:t>
      </w:r>
      <w:r>
        <w:t>cused by the horn system is reduced</w:t>
      </w:r>
      <w:r w:rsidR="00CD18E8">
        <w:t xml:space="preserve">. </w:t>
      </w:r>
    </w:p>
    <w:p w:rsidR="00DC4AD4" w:rsidRDefault="007E24A7" w:rsidP="00DC4AD4">
      <w:pPr>
        <w:pStyle w:val="Paragraph"/>
        <w:keepNext/>
        <w:ind w:firstLine="0"/>
      </w:pPr>
      <w:r>
        <w:rPr>
          <w:noProof/>
        </w:rPr>
        <w:drawing>
          <wp:inline distT="0" distB="0" distL="0" distR="0">
            <wp:extent cx="2829560" cy="96393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D4" w:rsidRPr="00DC4AD4" w:rsidRDefault="00DC4AD4" w:rsidP="00DC4AD4">
      <w:pPr>
        <w:pStyle w:val="FigureCaption"/>
        <w:rPr>
          <w:bCs/>
        </w:rPr>
      </w:pPr>
      <w:r>
        <w:rPr>
          <w:b/>
          <w:caps/>
        </w:rPr>
        <w:t xml:space="preserve">Figure </w:t>
      </w:r>
      <w:r>
        <w:t>1</w:t>
      </w:r>
      <w:r>
        <w:rPr>
          <w:b/>
          <w:caps/>
        </w:rPr>
        <w:t>.</w:t>
      </w:r>
      <w:r>
        <w:t xml:space="preserve">  </w:t>
      </w:r>
      <w:r>
        <w:rPr>
          <w:bCs/>
        </w:rPr>
        <w:t>T</w:t>
      </w:r>
      <w:r w:rsidRPr="00DC4AD4">
        <w:rPr>
          <w:bCs/>
        </w:rPr>
        <w:t>ransverse and longitudinal distributions of the focused pions for three different beamline geometries that are accessible in NuMI.</w:t>
      </w:r>
    </w:p>
    <w:p w:rsidR="00DC4AD4" w:rsidRPr="00DC4AD4" w:rsidRDefault="00DC4AD4" w:rsidP="00DC4AD4"/>
    <w:p w:rsidR="00BC10E1" w:rsidRDefault="003D01CD">
      <w:pPr>
        <w:pStyle w:val="Paragraph"/>
        <w:ind w:firstLine="0"/>
      </w:pPr>
      <w:r>
        <w:t xml:space="preserve">MINERνA </w:t>
      </w:r>
      <w:r w:rsidR="001757A6">
        <w:t>plans to take neutrino data in at least five different configurations</w:t>
      </w:r>
      <w:r w:rsidR="002D0898">
        <w:t xml:space="preserve"> to determine if the</w:t>
      </w:r>
      <w:r w:rsidR="001757A6">
        <w:t xml:space="preserve"> </w:t>
      </w:r>
      <w:r w:rsidR="001B5AFD">
        <w:t xml:space="preserve">energy dependence of the </w:t>
      </w:r>
      <w:r w:rsidR="001757A6">
        <w:t>quasi-elastic cross-section measured in each configuration remains constant.</w:t>
      </w:r>
      <w:r w:rsidR="001B5AFD">
        <w:t xml:space="preserve">  This ensures that the hadron production model that predicts the flux is robust.</w:t>
      </w:r>
      <w:r w:rsidR="001757A6">
        <w:t xml:space="preserve">  </w:t>
      </w:r>
      <w:r w:rsidR="001B5AFD">
        <w:t>The absolute flux level is constrained by comparing the total number of inclusive charged current events collected to a prediction that is anchored to the well-measured total cross section at high energies.</w:t>
      </w:r>
      <w:r w:rsidR="008232AB">
        <w:t xml:space="preserve">  </w:t>
      </w:r>
      <w:r w:rsidR="001757A6">
        <w:t>This run plan is expected to require a total of 0.9</w:t>
      </w:r>
      <w:r w:rsidR="002D0898">
        <w:t xml:space="preserve"> </w:t>
      </w:r>
      <w:r w:rsidR="001757A6">
        <w:sym w:font="Symbol" w:char="F0B4"/>
      </w:r>
      <w:r w:rsidR="002D0898">
        <w:t xml:space="preserve"> </w:t>
      </w:r>
      <w:r w:rsidR="001757A6">
        <w:t>10</w:t>
      </w:r>
      <w:r w:rsidR="001757A6" w:rsidRPr="001757A6">
        <w:rPr>
          <w:vertAlign w:val="superscript"/>
        </w:rPr>
        <w:t>20</w:t>
      </w:r>
      <w:r w:rsidR="001757A6">
        <w:rPr>
          <w:vertAlign w:val="superscript"/>
        </w:rPr>
        <w:t xml:space="preserve"> </w:t>
      </w:r>
      <w:r w:rsidR="002D0898">
        <w:t>POT</w:t>
      </w:r>
      <w:r w:rsidR="008232AB">
        <w:t>, of which a sixth had been collected at</w:t>
      </w:r>
      <w:r w:rsidR="001757A6">
        <w:t xml:space="preserve"> the time of the NuFact10 conference</w:t>
      </w:r>
      <w:r w:rsidR="008232AB">
        <w:t>.</w:t>
      </w:r>
      <w:r w:rsidR="001757A6">
        <w:t xml:space="preserve">   </w:t>
      </w:r>
    </w:p>
    <w:p w:rsidR="00002307" w:rsidRDefault="001757A6" w:rsidP="00002307">
      <w:pPr>
        <w:pStyle w:val="Paragraph"/>
      </w:pPr>
      <w:r>
        <w:t>Another way to test the model of hadron production is to look at the responses of the muon monitors, which sample</w:t>
      </w:r>
      <w:r w:rsidR="001B5AFD">
        <w:t xml:space="preserve"> muons produced coincident with the neutrinos.  Because the muon monitors measure only the total muon rates after different amounts of shieldin</w:t>
      </w:r>
      <w:r w:rsidR="00957258">
        <w:t xml:space="preserve">g, they provide a </w:t>
      </w:r>
      <w:r w:rsidR="001B5AFD">
        <w:t>less stringent constraint on the flux model than the neutrino spectrum.  However, because the muon rates per spill are extremely high, a much larger set of magnet currents can be sampled</w:t>
      </w:r>
      <w:r w:rsidR="00957258">
        <w:t xml:space="preserve"> </w:t>
      </w:r>
      <w:r w:rsidR="00141922">
        <w:t xml:space="preserve">because </w:t>
      </w:r>
      <w:r w:rsidR="00957258">
        <w:t>each current setting</w:t>
      </w:r>
      <w:r w:rsidR="001B5AFD">
        <w:t xml:space="preserve"> requires only a</w:t>
      </w:r>
      <w:r w:rsidR="000166F6">
        <w:t xml:space="preserve"> minute or two</w:t>
      </w:r>
      <w:r w:rsidR="001B5AFD">
        <w:t>.</w:t>
      </w:r>
      <w:r w:rsidR="00957258">
        <w:t xml:space="preserve">  At the time of the NuFact10 conference, there were data taken for a </w:t>
      </w:r>
      <w:r w:rsidR="00957258">
        <w:lastRenderedPageBreak/>
        <w:t xml:space="preserve">broad range of horn currents, for two different target positions.  </w:t>
      </w:r>
      <w:r w:rsidR="001B5AFD">
        <w:t xml:space="preserve">   </w:t>
      </w:r>
    </w:p>
    <w:p w:rsidR="00F9175C" w:rsidRDefault="00002307" w:rsidP="00F9175C">
      <w:pPr>
        <w:pStyle w:val="Heading1"/>
      </w:pPr>
      <w:r>
        <w:t xml:space="preserve">The </w:t>
      </w:r>
      <w:r w:rsidR="003D01CD">
        <w:t>MINER</w:t>
      </w:r>
      <w:r w:rsidR="00977513">
        <w:sym w:font="Symbol" w:char="F06E"/>
      </w:r>
      <w:r w:rsidR="003D01CD">
        <w:t xml:space="preserve">A </w:t>
      </w:r>
      <w:r>
        <w:t>Detector</w:t>
      </w:r>
    </w:p>
    <w:p w:rsidR="009A1C9C" w:rsidRDefault="00F9175C" w:rsidP="00F9175C">
      <w:pPr>
        <w:pStyle w:val="Paragraph"/>
      </w:pPr>
      <w:r>
        <w:t xml:space="preserve">The </w:t>
      </w:r>
      <w:r w:rsidR="003D01CD">
        <w:t xml:space="preserve">MINERνA </w:t>
      </w:r>
      <w:r w:rsidR="00002307">
        <w:t xml:space="preserve">detector consists of roughly </w:t>
      </w:r>
      <w:r w:rsidR="00F66701">
        <w:t>8.3 tons</w:t>
      </w:r>
      <w:r w:rsidR="00002307">
        <w:t xml:space="preserve"> of fine-grained scintillator that is surrounded by </w:t>
      </w:r>
      <w:r w:rsidR="0048402E">
        <w:t>some 17</w:t>
      </w:r>
      <w:r w:rsidR="00F66701">
        <w:t xml:space="preserve">0 tons of </w:t>
      </w:r>
      <w:r w:rsidR="00002307">
        <w:t xml:space="preserve">both </w:t>
      </w:r>
      <w:r w:rsidR="00647C29">
        <w:t xml:space="preserve">lead-scintillator </w:t>
      </w:r>
      <w:r w:rsidR="0048402E">
        <w:t>(</w:t>
      </w:r>
      <w:r w:rsidR="00002307">
        <w:t>electromagnetic</w:t>
      </w:r>
      <w:r w:rsidR="0048402E">
        <w:t>)</w:t>
      </w:r>
      <w:r w:rsidR="00002307">
        <w:t xml:space="preserve"> and </w:t>
      </w:r>
      <w:r w:rsidR="00647C29">
        <w:t xml:space="preserve">steel-scintillator </w:t>
      </w:r>
      <w:r w:rsidR="0048402E">
        <w:t>(</w:t>
      </w:r>
      <w:r w:rsidR="00002307">
        <w:t>hadronic</w:t>
      </w:r>
      <w:r w:rsidR="0048402E">
        <w:t>)</w:t>
      </w:r>
      <w:r w:rsidR="00002307">
        <w:t xml:space="preserve"> calorimetry to ensure event containment. </w:t>
      </w:r>
      <w:r w:rsidR="00570A27">
        <w:t xml:space="preserve"> The central detector has a fiducial mass of approximately 3 tons and is about 170 cm in diameter and 260 cm long.</w:t>
      </w:r>
    </w:p>
    <w:p w:rsidR="00647C29" w:rsidRDefault="00FC4179" w:rsidP="00F9175C">
      <w:pPr>
        <w:pStyle w:val="Paragraph"/>
      </w:pPr>
      <w:r>
        <w:t xml:space="preserve">The base element of the detector is a </w:t>
      </w:r>
      <w:r w:rsidR="0072621B">
        <w:t>triangula</w:t>
      </w:r>
      <w:r w:rsidR="00647C29">
        <w:t>r-shaped scintillator strip</w:t>
      </w:r>
      <w:r>
        <w:t xml:space="preserve"> with a</w:t>
      </w:r>
      <w:r w:rsidR="00647C29">
        <w:t xml:space="preserve"> </w:t>
      </w:r>
      <w:r>
        <w:t xml:space="preserve">3.3 cm </w:t>
      </w:r>
      <w:r w:rsidR="00647C29">
        <w:t xml:space="preserve">base and </w:t>
      </w:r>
      <w:r>
        <w:t xml:space="preserve">1.7 cm </w:t>
      </w:r>
      <w:r w:rsidR="00647C29">
        <w:t>he</w:t>
      </w:r>
      <w:r>
        <w:t>ight</w:t>
      </w:r>
      <w:r w:rsidR="00570A27">
        <w:t>.  The readout is done via a wave-length shifting fiber into a 64 anode PMT.</w:t>
      </w:r>
      <w:r w:rsidR="00647C29">
        <w:t xml:space="preserve"> The strips are in nested rows so that as a track passes through a plane there are usually two strips that scintillate.  The light sharing between neighboring scintillator strips is then used to achieve better than 3.5</w:t>
      </w:r>
      <w:r w:rsidR="00977513">
        <w:t xml:space="preserve"> </w:t>
      </w:r>
      <w:r w:rsidR="00647C29">
        <w:t xml:space="preserve">mm position resolution for </w:t>
      </w:r>
      <w:r w:rsidR="00977513">
        <w:t>tracks normal to the plane</w:t>
      </w:r>
      <w:r w:rsidR="00647C29">
        <w:t xml:space="preserve">.  </w:t>
      </w:r>
      <w:r w:rsidR="0072621B">
        <w:t xml:space="preserve">The strips </w:t>
      </w:r>
      <w:r w:rsidR="00570A27">
        <w:t xml:space="preserve">are formed into </w:t>
      </w:r>
      <w:r w:rsidR="0072621B">
        <w:t xml:space="preserve">hexagonal-shaped scintillator planes oriented either vertically or </w:t>
      </w:r>
      <w:r w:rsidR="0072621B">
        <w:rPr>
          <w:rFonts w:ascii="Arial" w:hAnsi="Arial" w:cs="Arial"/>
        </w:rPr>
        <w:t>±</w:t>
      </w:r>
      <w:r w:rsidR="0072621B">
        <w:t xml:space="preserve">60 degrees from the vertical to allow </w:t>
      </w:r>
      <w:r w:rsidR="00647C29">
        <w:t xml:space="preserve">for </w:t>
      </w:r>
      <w:r w:rsidR="0072621B">
        <w:t>stereo tracking.</w:t>
      </w:r>
      <w:r w:rsidR="00647C29">
        <w:t xml:space="preserve">  The light levels on</w:t>
      </w:r>
      <w:r w:rsidR="0048402E">
        <w:t xml:space="preserve"> the strips are high enough to be used for</w:t>
      </w:r>
      <w:r w:rsidR="00647C29">
        <w:t xml:space="preserve"> par</w:t>
      </w:r>
      <w:r w:rsidR="0048402E">
        <w:t>ticle identification</w:t>
      </w:r>
      <w:r w:rsidR="00647C29">
        <w:t xml:space="preserve"> for tracks that range out in the </w:t>
      </w:r>
      <w:r w:rsidR="003D01CD">
        <w:t xml:space="preserve">MINERνA </w:t>
      </w:r>
      <w:r w:rsidR="00647C29">
        <w:t xml:space="preserve">scintillator planes.  </w:t>
      </w:r>
    </w:p>
    <w:p w:rsidR="0072621B" w:rsidRPr="0048402E" w:rsidRDefault="00570A27" w:rsidP="00F9175C">
      <w:pPr>
        <w:pStyle w:val="Paragraph"/>
        <w:rPr>
          <w:color w:val="FF0000"/>
        </w:rPr>
      </w:pPr>
      <w:r>
        <w:t>The s</w:t>
      </w:r>
      <w:r w:rsidR="00647C29">
        <w:t xml:space="preserve">ide electromagnetic </w:t>
      </w:r>
      <w:r w:rsidR="0048402E">
        <w:t>(EM) calorimet</w:t>
      </w:r>
      <w:r>
        <w:t xml:space="preserve">er consists of </w:t>
      </w:r>
      <w:r w:rsidR="0048402E">
        <w:t>2</w:t>
      </w:r>
      <w:r w:rsidR="00977513">
        <w:t xml:space="preserve"> </w:t>
      </w:r>
      <w:r w:rsidR="0048402E">
        <w:t>mm thick lead collars that cover</w:t>
      </w:r>
      <w:r w:rsidR="00647C29">
        <w:t xml:space="preserve"> the outer edges of each scintillator plane.</w:t>
      </w:r>
      <w:r w:rsidR="0048402E">
        <w:t xml:space="preserve">  The outer hadronic calorimeter</w:t>
      </w:r>
      <w:r w:rsidR="00647C29">
        <w:t xml:space="preserve"> is instrumented </w:t>
      </w:r>
      <w:r w:rsidR="0048402E">
        <w:t xml:space="preserve">using rectangular scintillator bars </w:t>
      </w:r>
      <w:r w:rsidR="00647C29">
        <w:t>located in slots cut into the steel.  The downstream EM calorimetry consists of</w:t>
      </w:r>
      <w:r w:rsidR="0048402E">
        <w:t xml:space="preserve"> 20 alternating planes of 1.7</w:t>
      </w:r>
      <w:r w:rsidR="00977513">
        <w:t xml:space="preserve"> </w:t>
      </w:r>
      <w:r w:rsidR="0048402E">
        <w:t>cm thick scintillator</w:t>
      </w:r>
      <w:r>
        <w:t xml:space="preserve"> planes</w:t>
      </w:r>
      <w:r w:rsidR="0048402E">
        <w:t xml:space="preserve"> and </w:t>
      </w:r>
      <w:r w:rsidR="00647C29">
        <w:t>2</w:t>
      </w:r>
      <w:r w:rsidR="00977513">
        <w:t xml:space="preserve"> </w:t>
      </w:r>
      <w:r w:rsidR="00647C29">
        <w:t xml:space="preserve">mm </w:t>
      </w:r>
      <w:r w:rsidR="0048402E">
        <w:t xml:space="preserve">thick </w:t>
      </w:r>
      <w:r w:rsidR="00647C29">
        <w:t>lead, and the downstream hadronic calorimetry consists of 20 alternating planes of 1.7</w:t>
      </w:r>
      <w:r>
        <w:t xml:space="preserve"> </w:t>
      </w:r>
      <w:r w:rsidR="00647C29">
        <w:t xml:space="preserve">cm </w:t>
      </w:r>
      <w:r w:rsidR="0048402E">
        <w:t>thick scintillator</w:t>
      </w:r>
      <w:r>
        <w:t xml:space="preserve"> planes</w:t>
      </w:r>
      <w:r w:rsidR="0048402E">
        <w:t xml:space="preserve"> and </w:t>
      </w:r>
      <w:r w:rsidR="00647C29">
        <w:t>2.54</w:t>
      </w:r>
      <w:r>
        <w:t xml:space="preserve"> </w:t>
      </w:r>
      <w:r w:rsidR="00647C29">
        <w:t xml:space="preserve">cm </w:t>
      </w:r>
      <w:r w:rsidR="0048402E">
        <w:t xml:space="preserve">thick </w:t>
      </w:r>
      <w:r w:rsidR="00647C29">
        <w:t xml:space="preserve">steel.  The entire </w:t>
      </w:r>
      <w:r w:rsidR="003D01CD">
        <w:t xml:space="preserve">MINERνA </w:t>
      </w:r>
      <w:r w:rsidR="00647C29">
        <w:t>dete</w:t>
      </w:r>
      <w:r w:rsidR="00DB10B7">
        <w:t xml:space="preserve">ctor sits in front of the MINOS </w:t>
      </w:r>
      <w:r w:rsidR="00647C29">
        <w:t>Near Detector which serves as a muon spectromete</w:t>
      </w:r>
      <w:r w:rsidR="00370D0A">
        <w:t>r [5].</w:t>
      </w:r>
    </w:p>
    <w:p w:rsidR="00E11670" w:rsidRDefault="00746668" w:rsidP="00F9175C">
      <w:pPr>
        <w:pStyle w:val="Paragraph"/>
      </w:pPr>
      <w:r>
        <w:t>Upstream of the central</w:t>
      </w:r>
      <w:r w:rsidR="00F66701">
        <w:t xml:space="preserve"> detector </w:t>
      </w:r>
      <w:r>
        <w:t xml:space="preserve">are </w:t>
      </w:r>
      <w:r w:rsidR="00BE403E">
        <w:t>solid planes</w:t>
      </w:r>
      <w:r>
        <w:t xml:space="preserve"> of lead, iron, and carbon</w:t>
      </w:r>
      <w:r w:rsidR="00BE403E">
        <w:t xml:space="preserve"> that serve as different targets for the neutrino beam</w:t>
      </w:r>
      <w:r>
        <w:t>. T</w:t>
      </w:r>
      <w:r w:rsidR="00F66701">
        <w:t>he geometry o</w:t>
      </w:r>
      <w:r w:rsidR="00647C29">
        <w:t>f those target</w:t>
      </w:r>
      <w:r w:rsidR="00884A94">
        <w:t>s i</w:t>
      </w:r>
      <w:r w:rsidR="00647C29">
        <w:t>s designed so</w:t>
      </w:r>
      <w:r w:rsidR="00F66701">
        <w:t xml:space="preserve"> that acceptance</w:t>
      </w:r>
      <w:r w:rsidR="0048402E">
        <w:t xml:space="preserve"> differences between </w:t>
      </w:r>
      <w:r w:rsidR="00BE403E">
        <w:t>the different kinds of nuclei</w:t>
      </w:r>
      <w:r w:rsidR="0048402E">
        <w:t xml:space="preserve"> are minimized</w:t>
      </w:r>
      <w:r w:rsidR="00F66701">
        <w:t>.  In this way the nuclear effects c</w:t>
      </w:r>
      <w:r w:rsidR="008213BD">
        <w:t>an be measured with a minimized</w:t>
      </w:r>
      <w:r w:rsidR="00F66701">
        <w:t xml:space="preserve"> systematic bias.  The experiment is also in the process of building two liquid targets:  a water target</w:t>
      </w:r>
      <w:r>
        <w:t>, which</w:t>
      </w:r>
      <w:r w:rsidR="00F66701">
        <w:t xml:space="preserve"> will be inserted into the upstream nuclear target region, and a cryogenic helium target</w:t>
      </w:r>
      <w:r w:rsidR="008213BD">
        <w:t xml:space="preserve"> placed upstream of the current detector</w:t>
      </w:r>
      <w:r w:rsidR="00F66701">
        <w:t>.</w:t>
      </w:r>
      <w:r w:rsidR="008213BD">
        <w:t xml:space="preserve">  A veto system upstream of the helium target will be installed to </w:t>
      </w:r>
      <w:r w:rsidR="00990A72">
        <w:t xml:space="preserve">remove backgrounds from </w:t>
      </w:r>
      <w:r w:rsidR="008213BD">
        <w:t xml:space="preserve">muons </w:t>
      </w:r>
      <w:r w:rsidR="00990A72">
        <w:t>entering the front of the detector.</w:t>
      </w:r>
    </w:p>
    <w:p w:rsidR="002D7ADB" w:rsidRDefault="00E11670" w:rsidP="00F9175C">
      <w:pPr>
        <w:pStyle w:val="Paragraph"/>
      </w:pPr>
      <w:r>
        <w:t xml:space="preserve">The event samples will be unprecedented for such a fine-grained detector.  Of the 9 million events expected to occur in the scintillator, about 800 thousand will be quasi-elastic events.  Another 1.7 </w:t>
      </w:r>
      <w:r>
        <w:lastRenderedPageBreak/>
        <w:t xml:space="preserve">million events will be resonance production, with the remaining events filling in the gap between resonance </w:t>
      </w:r>
      <w:r w:rsidR="008213BD">
        <w:t xml:space="preserve">production </w:t>
      </w:r>
      <w:r>
        <w:t xml:space="preserve">and </w:t>
      </w:r>
      <w:r w:rsidR="008213BD">
        <w:t>deep inelastic scattering</w:t>
      </w:r>
      <w:r>
        <w:t>.  These statistics corr</w:t>
      </w:r>
      <w:r w:rsidR="008213BD">
        <w:t>espond to an exposure of</w:t>
      </w:r>
      <w:r w:rsidRPr="00E11670">
        <w:t xml:space="preserve"> 4</w:t>
      </w:r>
      <w:r w:rsidRPr="00E11670">
        <w:sym w:font="Symbol" w:char="F0B4"/>
      </w:r>
      <w:r w:rsidRPr="00E11670">
        <w:t>10</w:t>
      </w:r>
      <w:r w:rsidRPr="00E11670">
        <w:rPr>
          <w:vertAlign w:val="superscript"/>
        </w:rPr>
        <w:t>20</w:t>
      </w:r>
      <w:r w:rsidRPr="00E11670">
        <w:t xml:space="preserve"> POT in low energy running and 12</w:t>
      </w:r>
      <w:r w:rsidRPr="00E11670">
        <w:sym w:font="Symbol" w:char="F0B4"/>
      </w:r>
      <w:r w:rsidRPr="00E11670">
        <w:t>10</w:t>
      </w:r>
      <w:r w:rsidRPr="00E11670">
        <w:rPr>
          <w:vertAlign w:val="superscript"/>
        </w:rPr>
        <w:t>20</w:t>
      </w:r>
      <w:r w:rsidRPr="00E11670">
        <w:t xml:space="preserve"> POT in medium energy running.</w:t>
      </w:r>
      <w:r>
        <w:t xml:space="preserve">  Because of the detector’s fine gra</w:t>
      </w:r>
      <w:r w:rsidR="008213BD">
        <w:t>nularity the experiment will be able</w:t>
      </w:r>
      <w:r>
        <w:t xml:space="preserve"> to map out not only the total cross sections for these d</w:t>
      </w:r>
      <w:r w:rsidR="008213BD">
        <w:t xml:space="preserve">ifferent channels, but also </w:t>
      </w:r>
      <w:r>
        <w:t>differential distributions so that t</w:t>
      </w:r>
      <w:r w:rsidR="008213BD">
        <w:t xml:space="preserve">he underlying dynamics can </w:t>
      </w:r>
      <w:r>
        <w:t xml:space="preserve">be understood.  In addition to the events in the </w:t>
      </w:r>
      <w:r w:rsidR="00746668">
        <w:t xml:space="preserve">central </w:t>
      </w:r>
      <w:r>
        <w:t>scintillator trac</w:t>
      </w:r>
      <w:r w:rsidR="008213BD">
        <w:t>ker region, there are significant</w:t>
      </w:r>
      <w:r>
        <w:t xml:space="preserve"> statistics in </w:t>
      </w:r>
      <w:r w:rsidR="008213BD">
        <w:t>the nuclear target regions, as shown in</w:t>
      </w:r>
      <w:r>
        <w:t xml:space="preserve"> </w:t>
      </w:r>
      <w:r w:rsidR="008213BD">
        <w:t>Table 1.</w:t>
      </w:r>
    </w:p>
    <w:p w:rsidR="002D7ADB" w:rsidRDefault="002D7ADB" w:rsidP="00F9175C">
      <w:pPr>
        <w:pStyle w:val="Paragraph"/>
      </w:pPr>
    </w:p>
    <w:tbl>
      <w:tblPr>
        <w:tblW w:w="0" w:type="auto"/>
        <w:tblInd w:w="108" w:type="dxa"/>
        <w:tblLayout w:type="fixed"/>
        <w:tblLook w:val="0000"/>
      </w:tblPr>
      <w:tblGrid>
        <w:gridCol w:w="1470"/>
        <w:gridCol w:w="1470"/>
        <w:gridCol w:w="1470"/>
      </w:tblGrid>
      <w:tr w:rsidR="002D7ADB">
        <w:trPr>
          <w:cantSplit/>
        </w:trPr>
        <w:tc>
          <w:tcPr>
            <w:tcW w:w="4410" w:type="dxa"/>
            <w:gridSpan w:val="3"/>
          </w:tcPr>
          <w:p w:rsidR="002D7ADB" w:rsidRDefault="002D7ADB" w:rsidP="002D7ADB">
            <w:pPr>
              <w:keepNext/>
              <w:rPr>
                <w:b/>
                <w:sz w:val="18"/>
              </w:rPr>
            </w:pPr>
            <w:r>
              <w:rPr>
                <w:b/>
                <w:sz w:val="18"/>
              </w:rPr>
              <w:t>TABLE 1.</w:t>
            </w:r>
            <w:r>
              <w:rPr>
                <w:sz w:val="18"/>
              </w:rPr>
              <w:t xml:space="preserve"> </w:t>
            </w:r>
            <w:r w:rsidR="003D01CD">
              <w:rPr>
                <w:sz w:val="18"/>
              </w:rPr>
              <w:t xml:space="preserve">MINERνA </w:t>
            </w:r>
            <w:r w:rsidR="0072621B">
              <w:rPr>
                <w:sz w:val="18"/>
              </w:rPr>
              <w:t>nuclear t</w:t>
            </w:r>
            <w:r>
              <w:rPr>
                <w:sz w:val="18"/>
              </w:rPr>
              <w:t>argets and associated</w:t>
            </w:r>
            <w:r w:rsidR="0072621B">
              <w:rPr>
                <w:sz w:val="18"/>
              </w:rPr>
              <w:t xml:space="preserve"> Charged Current (CC) event</w:t>
            </w:r>
            <w:r>
              <w:rPr>
                <w:sz w:val="18"/>
              </w:rPr>
              <w:t xml:space="preserve"> statistics in 4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10</w:t>
            </w:r>
            <w:r w:rsidRPr="002D7ADB">
              <w:rPr>
                <w:sz w:val="18"/>
                <w:vertAlign w:val="superscript"/>
              </w:rPr>
              <w:t>20</w:t>
            </w:r>
            <w:r>
              <w:rPr>
                <w:sz w:val="18"/>
              </w:rPr>
              <w:t xml:space="preserve"> POT in low energy running and 12</w:t>
            </w:r>
            <w:r>
              <w:rPr>
                <w:sz w:val="18"/>
              </w:rPr>
              <w:sym w:font="Symbol" w:char="F0B4"/>
            </w:r>
            <w:r>
              <w:rPr>
                <w:sz w:val="18"/>
              </w:rPr>
              <w:t>10</w:t>
            </w:r>
            <w:r w:rsidRPr="002D7ADB">
              <w:rPr>
                <w:sz w:val="18"/>
                <w:vertAlign w:val="superscript"/>
              </w:rPr>
              <w:t>20</w:t>
            </w:r>
            <w:r w:rsidR="008213BD">
              <w:rPr>
                <w:sz w:val="18"/>
              </w:rPr>
              <w:t xml:space="preserve"> POT in medium energy running (acceptance not included).</w:t>
            </w:r>
          </w:p>
        </w:tc>
      </w:tr>
      <w:tr w:rsidR="002D7ADB">
        <w:trPr>
          <w:cantSplit/>
        </w:trPr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526C91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ducial Mass (tons)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CC Events (million)</w:t>
            </w:r>
          </w:p>
        </w:tc>
      </w:tr>
      <w:tr w:rsidR="002D7ADB">
        <w:trPr>
          <w:cantSplit/>
        </w:trPr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Scintillator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D7AD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2D7ADB">
        <w:trPr>
          <w:cantSplit/>
        </w:trPr>
        <w:tc>
          <w:tcPr>
            <w:tcW w:w="1470" w:type="dxa"/>
          </w:tcPr>
          <w:p w:rsidR="002D7AD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Helium</w:t>
            </w:r>
          </w:p>
        </w:tc>
        <w:tc>
          <w:tcPr>
            <w:tcW w:w="1470" w:type="dxa"/>
          </w:tcPr>
          <w:p w:rsidR="002D7ADB" w:rsidRDefault="0072621B" w:rsidP="003D01CD">
            <w:pPr>
              <w:pStyle w:val="Figure"/>
              <w:keepNext w:val="0"/>
              <w:spacing w:after="0"/>
              <w:rPr>
                <w:sz w:val="18"/>
              </w:rPr>
            </w:pPr>
            <w:r>
              <w:rPr>
                <w:sz w:val="18"/>
              </w:rPr>
              <w:t>0.2</w:t>
            </w:r>
          </w:p>
        </w:tc>
        <w:tc>
          <w:tcPr>
            <w:tcW w:w="1470" w:type="dxa"/>
          </w:tcPr>
          <w:p w:rsidR="002D7AD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0.6</w:t>
            </w:r>
          </w:p>
        </w:tc>
      </w:tr>
      <w:tr w:rsidR="002D7ADB">
        <w:trPr>
          <w:cantSplit/>
        </w:trPr>
        <w:tc>
          <w:tcPr>
            <w:tcW w:w="1470" w:type="dxa"/>
          </w:tcPr>
          <w:p w:rsidR="002D7AD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C (graphite)</w:t>
            </w:r>
          </w:p>
        </w:tc>
        <w:tc>
          <w:tcPr>
            <w:tcW w:w="1470" w:type="dxa"/>
          </w:tcPr>
          <w:p w:rsidR="002D7AD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1470" w:type="dxa"/>
          </w:tcPr>
          <w:p w:rsidR="002D7AD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0.4</w:t>
            </w:r>
          </w:p>
        </w:tc>
      </w:tr>
      <w:tr w:rsidR="0072621B">
        <w:trPr>
          <w:cantSplit/>
        </w:trPr>
        <w:tc>
          <w:tcPr>
            <w:tcW w:w="1470" w:type="dxa"/>
          </w:tcPr>
          <w:p w:rsidR="0072621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Iron</w:t>
            </w:r>
          </w:p>
        </w:tc>
        <w:tc>
          <w:tcPr>
            <w:tcW w:w="1470" w:type="dxa"/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0.7</w:t>
            </w:r>
          </w:p>
        </w:tc>
        <w:tc>
          <w:tcPr>
            <w:tcW w:w="1470" w:type="dxa"/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</w:tr>
      <w:tr w:rsidR="0072621B">
        <w:trPr>
          <w:cantSplit/>
        </w:trPr>
        <w:tc>
          <w:tcPr>
            <w:tcW w:w="1470" w:type="dxa"/>
          </w:tcPr>
          <w:p w:rsidR="0072621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470" w:type="dxa"/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0.85</w:t>
            </w:r>
          </w:p>
        </w:tc>
        <w:tc>
          <w:tcPr>
            <w:tcW w:w="1470" w:type="dxa"/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</w:tr>
      <w:tr w:rsidR="0072621B">
        <w:trPr>
          <w:cantSplit/>
        </w:trPr>
        <w:tc>
          <w:tcPr>
            <w:tcW w:w="1470" w:type="dxa"/>
            <w:tcBorders>
              <w:bottom w:val="single" w:sz="4" w:space="0" w:color="auto"/>
            </w:tcBorders>
          </w:tcPr>
          <w:p w:rsidR="0072621B" w:rsidRDefault="0072621B" w:rsidP="003D01CD">
            <w:pPr>
              <w:rPr>
                <w:sz w:val="18"/>
              </w:rPr>
            </w:pPr>
            <w:r>
              <w:rPr>
                <w:sz w:val="18"/>
              </w:rPr>
              <w:t>Water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2621B" w:rsidRDefault="0072621B" w:rsidP="003D0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</w:tbl>
    <w:p w:rsidR="00002307" w:rsidRDefault="00002307" w:rsidP="0056062B">
      <w:pPr>
        <w:pStyle w:val="Paragraph"/>
        <w:ind w:firstLine="0"/>
      </w:pPr>
    </w:p>
    <w:p w:rsidR="009A42BB" w:rsidRDefault="00F55A96" w:rsidP="009A42BB">
      <w:pPr>
        <w:pStyle w:val="Heading1"/>
      </w:pPr>
      <w:r>
        <w:t>Run PLan and detector performance</w:t>
      </w:r>
    </w:p>
    <w:p w:rsidR="00A05C7F" w:rsidRDefault="00391AD9" w:rsidP="005651C5">
      <w:pPr>
        <w:pStyle w:val="Paragraph"/>
      </w:pPr>
      <w:r>
        <w:t>Because the NuMI beamline was already operating</w:t>
      </w:r>
      <w:r w:rsidR="008213BD">
        <w:t xml:space="preserve"> during detector construction</w:t>
      </w:r>
      <w:r>
        <w:t xml:space="preserve">, the first 55% of the </w:t>
      </w:r>
      <w:r w:rsidR="003D01CD">
        <w:t xml:space="preserve">MINERνA </w:t>
      </w:r>
      <w:r>
        <w:t>detector start</w:t>
      </w:r>
      <w:r w:rsidR="000166F6">
        <w:t>ed taking data</w:t>
      </w:r>
      <w:r>
        <w:t xml:space="preserve"> in November 2009 while the </w:t>
      </w:r>
      <w:r w:rsidR="00746668">
        <w:t>remaining</w:t>
      </w:r>
      <w:r>
        <w:t xml:space="preserve"> 45% of the detector was being built.  During this time the NuMI beamline was running in anti-neutrino mode, and </w:t>
      </w:r>
      <w:r w:rsidR="003D01CD">
        <w:t xml:space="preserve">MINERνA </w:t>
      </w:r>
      <w:r>
        <w:t>accumulated roughly 0.8</w:t>
      </w:r>
      <w:r w:rsidRPr="00E11670">
        <w:sym w:font="Symbol" w:char="F0B4"/>
      </w:r>
      <w:r w:rsidRPr="00E11670">
        <w:t>10</w:t>
      </w:r>
      <w:r w:rsidRPr="00E11670">
        <w:rPr>
          <w:vertAlign w:val="superscript"/>
        </w:rPr>
        <w:t>20</w:t>
      </w:r>
      <w:r>
        <w:t xml:space="preserve"> </w:t>
      </w:r>
      <w:r w:rsidR="008213BD">
        <w:t xml:space="preserve">protons on target, </w:t>
      </w:r>
      <w:r>
        <w:t>half of w</w:t>
      </w:r>
      <w:r w:rsidR="008213BD">
        <w:t xml:space="preserve">hich was with steel and lead nuclear targets in the beam.  </w:t>
      </w:r>
      <w:r w:rsidR="008F486A">
        <w:t xml:space="preserve">Installation of the full detector was completed in </w:t>
      </w:r>
      <w:r>
        <w:t>Marc</w:t>
      </w:r>
      <w:r w:rsidR="008F486A">
        <w:t xml:space="preserve">h, </w:t>
      </w:r>
      <w:r w:rsidR="008213BD">
        <w:t>2010</w:t>
      </w:r>
      <w:r w:rsidR="00947D6C">
        <w:t xml:space="preserve"> as running in the </w:t>
      </w:r>
      <w:r>
        <w:t xml:space="preserve">neutrino </w:t>
      </w:r>
      <w:r w:rsidR="00947D6C">
        <w:t xml:space="preserve">mode </w:t>
      </w:r>
      <w:r>
        <w:t>began.  Between March a</w:t>
      </w:r>
      <w:r w:rsidR="00BE22FA">
        <w:t>nd this writing a total of 1.32</w:t>
      </w:r>
      <w:r w:rsidRPr="00E11670">
        <w:sym w:font="Symbol" w:char="F0B4"/>
      </w:r>
      <w:r w:rsidRPr="00E11670">
        <w:t>10</w:t>
      </w:r>
      <w:r w:rsidRPr="00E11670">
        <w:rPr>
          <w:vertAlign w:val="superscript"/>
        </w:rPr>
        <w:t>20</w:t>
      </w:r>
      <w:r w:rsidR="00947D6C">
        <w:rPr>
          <w:vertAlign w:val="superscript"/>
        </w:rPr>
        <w:t xml:space="preserve"> </w:t>
      </w:r>
      <w:r>
        <w:t>POT have been accumulated</w:t>
      </w:r>
      <w:r w:rsidR="00BE22FA">
        <w:t xml:space="preserve"> in neutrino mode</w:t>
      </w:r>
      <w:r>
        <w:t>, or about</w:t>
      </w:r>
      <w:r w:rsidR="00BE22FA">
        <w:t xml:space="preserve"> 25</w:t>
      </w:r>
      <w:r>
        <w:t xml:space="preserve">% of the total </w:t>
      </w:r>
      <w:r w:rsidR="00947D6C">
        <w:t xml:space="preserve">planned </w:t>
      </w:r>
      <w:r>
        <w:t>Low Energy exposure.  Part of preparing for NOvA involves a long shutdown to upgrade the NuMI beaml</w:t>
      </w:r>
      <w:r w:rsidR="00526C91">
        <w:t>i</w:t>
      </w:r>
      <w:r>
        <w:t xml:space="preserve">ne and Main Injector, and after that shutdown </w:t>
      </w:r>
      <w:r w:rsidR="003D01CD">
        <w:t xml:space="preserve">MINERνA </w:t>
      </w:r>
      <w:r>
        <w:t xml:space="preserve">will run concurrent with NOvA </w:t>
      </w:r>
      <w:r w:rsidR="00947D6C">
        <w:t xml:space="preserve">with an expected exposure of </w:t>
      </w:r>
      <w:r>
        <w:t>12</w:t>
      </w:r>
      <w:r w:rsidRPr="00E11670">
        <w:sym w:font="Symbol" w:char="F0B4"/>
      </w:r>
      <w:r w:rsidRPr="00E11670">
        <w:t>10</w:t>
      </w:r>
      <w:r w:rsidRPr="00E11670">
        <w:rPr>
          <w:vertAlign w:val="superscript"/>
        </w:rPr>
        <w:t>20</w:t>
      </w:r>
      <w:r w:rsidR="00947D6C">
        <w:rPr>
          <w:vertAlign w:val="superscript"/>
        </w:rPr>
        <w:t xml:space="preserve"> </w:t>
      </w:r>
      <w:r w:rsidR="009B0D16">
        <w:t xml:space="preserve">POT in </w:t>
      </w:r>
      <w:r w:rsidR="00947D6C">
        <w:t>the</w:t>
      </w:r>
      <w:r w:rsidR="009B0D16">
        <w:t xml:space="preserve"> Medium E</w:t>
      </w:r>
      <w:r>
        <w:t xml:space="preserve">nergy neutrino mode. </w:t>
      </w:r>
    </w:p>
    <w:p w:rsidR="009B0D16" w:rsidRDefault="00391AD9" w:rsidP="005651C5">
      <w:pPr>
        <w:pStyle w:val="Paragraph"/>
      </w:pPr>
      <w:r>
        <w:t>The detector is functioning well and event displ</w:t>
      </w:r>
      <w:r w:rsidR="009B0D16">
        <w:t>ays show clear detached vertices and stopping ionization losses</w:t>
      </w:r>
      <w:r>
        <w:t>.  Particle identification algorithms already show promise of distinguishing protons from pi</w:t>
      </w:r>
      <w:r w:rsidR="009B0D16">
        <w:t xml:space="preserve">ons and muons, and </w:t>
      </w:r>
      <w:r w:rsidR="00947D6C">
        <w:t xml:space="preserve">software development to do complete </w:t>
      </w:r>
      <w:r w:rsidR="009B0D16">
        <w:t xml:space="preserve">event reconstruction </w:t>
      </w:r>
      <w:r>
        <w:t>in this complex geometry is pro</w:t>
      </w:r>
      <w:r w:rsidR="009B0D16">
        <w:t>gressing rapidly</w:t>
      </w:r>
      <w:r w:rsidR="00DC4AD4">
        <w:t>.  Figure 2</w:t>
      </w:r>
      <w:r>
        <w:t xml:space="preserve"> shows </w:t>
      </w:r>
      <w:r w:rsidR="0066102B">
        <w:t>t</w:t>
      </w:r>
      <w:r w:rsidR="00977513">
        <w:t>hree</w:t>
      </w:r>
      <w:r w:rsidR="0066102B">
        <w:t xml:space="preserve"> </w:t>
      </w:r>
      <w:r>
        <w:t xml:space="preserve">event </w:t>
      </w:r>
      <w:r>
        <w:lastRenderedPageBreak/>
        <w:t>displays</w:t>
      </w:r>
      <w:r w:rsidR="0066102B">
        <w:t xml:space="preserve"> of one of</w:t>
      </w:r>
      <w:r w:rsidR="009B0D16">
        <w:t xml:space="preserve"> three tracking view</w:t>
      </w:r>
      <w:r>
        <w:t xml:space="preserve">s from </w:t>
      </w:r>
      <w:r w:rsidR="0066102B">
        <w:t>events originating in the nuclear targets.</w:t>
      </w:r>
    </w:p>
    <w:p w:rsidR="007F76AA" w:rsidRDefault="007F76AA" w:rsidP="005651C5">
      <w:pPr>
        <w:pStyle w:val="Paragraph"/>
      </w:pPr>
    </w:p>
    <w:p w:rsidR="00CA4514" w:rsidRDefault="007E24A7" w:rsidP="00CA4514">
      <w:pPr>
        <w:pStyle w:val="Figure"/>
      </w:pPr>
      <w:r>
        <w:rPr>
          <w:noProof/>
        </w:rPr>
        <w:drawing>
          <wp:inline distT="0" distB="0" distL="0" distR="0">
            <wp:extent cx="2799080" cy="105029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AA" w:rsidRDefault="007F76AA" w:rsidP="007F76AA">
      <w:pPr>
        <w:pStyle w:val="FigureCaption"/>
      </w:pPr>
      <w:r>
        <w:rPr>
          <w:b/>
          <w:caps/>
        </w:rPr>
        <w:t xml:space="preserve">Figure </w:t>
      </w:r>
      <w:r w:rsidR="00DC4AD4">
        <w:t>2</w:t>
      </w:r>
      <w:r>
        <w:rPr>
          <w:b/>
          <w:caps/>
        </w:rPr>
        <w:t>.</w:t>
      </w:r>
      <w:r>
        <w:t xml:space="preserve">  </w:t>
      </w:r>
      <w:r w:rsidR="00C760A3">
        <w:t xml:space="preserve">Three different neutrino interactions that are nuclear target candidates, for one of three tracking views.  </w:t>
      </w:r>
    </w:p>
    <w:p w:rsidR="00391AD9" w:rsidRDefault="00391AD9" w:rsidP="005651C5">
      <w:pPr>
        <w:pStyle w:val="Paragraph"/>
      </w:pPr>
      <w:r>
        <w:t xml:space="preserve">  </w:t>
      </w:r>
    </w:p>
    <w:p w:rsidR="00884D90" w:rsidRDefault="005651C5" w:rsidP="00884D90">
      <w:pPr>
        <w:pStyle w:val="Heading1"/>
      </w:pPr>
      <w:r>
        <w:t xml:space="preserve">  </w:t>
      </w:r>
      <w:r w:rsidR="001B122E">
        <w:t>Conclusions</w:t>
      </w:r>
    </w:p>
    <w:p w:rsidR="00E11670" w:rsidRDefault="001B122E" w:rsidP="00E11670">
      <w:pPr>
        <w:pStyle w:val="Paragraph"/>
      </w:pPr>
      <w:r>
        <w:t>T</w:t>
      </w:r>
      <w:r w:rsidR="006D23C4">
        <w:t xml:space="preserve">he </w:t>
      </w:r>
      <w:r w:rsidR="003D01CD">
        <w:t xml:space="preserve">MINERνA </w:t>
      </w:r>
      <w:r w:rsidR="006D23C4">
        <w:t xml:space="preserve">experiment </w:t>
      </w:r>
      <w:r w:rsidR="008C50CA">
        <w:t xml:space="preserve">is </w:t>
      </w:r>
      <w:r w:rsidR="006D23C4">
        <w:t>now running</w:t>
      </w:r>
      <w:r>
        <w:t xml:space="preserve"> and h</w:t>
      </w:r>
      <w:r w:rsidR="006D23C4">
        <w:t>as completed 25% of its full Low Energy run</w:t>
      </w:r>
      <w:r>
        <w:t>.  There are various techniques planned for unde</w:t>
      </w:r>
      <w:r w:rsidR="006D23C4">
        <w:t>rstanding the flux, including</w:t>
      </w:r>
      <w:r>
        <w:t xml:space="preserve"> taking </w:t>
      </w:r>
      <w:r w:rsidR="006D23C4">
        <w:t xml:space="preserve">neutrino </w:t>
      </w:r>
      <w:r>
        <w:t xml:space="preserve">data at several different beam configurations.  The experiment has gotten a first glimpse of two of the six configurations, and </w:t>
      </w:r>
      <w:r w:rsidR="006D23C4">
        <w:t xml:space="preserve">completed </w:t>
      </w:r>
      <w:r>
        <w:t xml:space="preserve">four horn current scans.  </w:t>
      </w:r>
    </w:p>
    <w:p w:rsidR="001B122E" w:rsidRDefault="000166F6" w:rsidP="00E11670">
      <w:pPr>
        <w:pStyle w:val="Paragraph"/>
      </w:pPr>
      <w:r>
        <w:t>Because of its</w:t>
      </w:r>
      <w:r w:rsidR="004E1B93">
        <w:t xml:space="preserve"> </w:t>
      </w:r>
      <w:r w:rsidR="001B122E">
        <w:t>exclusive final state reconstruction capabilities</w:t>
      </w:r>
      <w:r>
        <w:t xml:space="preserve"> MINERvA </w:t>
      </w:r>
      <w:r w:rsidR="001B122E">
        <w:t xml:space="preserve">can provide the much needed input for current </w:t>
      </w:r>
      <w:r w:rsidR="006D23C4">
        <w:t xml:space="preserve">and </w:t>
      </w:r>
      <w:r w:rsidR="001B122E">
        <w:t>future osci</w:t>
      </w:r>
      <w:r w:rsidR="006D23C4">
        <w:t>llation experiments.  T</w:t>
      </w:r>
      <w:r w:rsidR="001B122E">
        <w:t xml:space="preserve">he inclusive final state measurements and comparisons of nuclear effects across as many states as possible will provide </w:t>
      </w:r>
      <w:r w:rsidR="00947D6C">
        <w:t xml:space="preserve">new insights into neutrino-nucleus scattering.  </w:t>
      </w:r>
    </w:p>
    <w:p w:rsidR="00F810B7" w:rsidRDefault="00F810B7" w:rsidP="00F810B7">
      <w:pPr>
        <w:pStyle w:val="Heading1"/>
      </w:pPr>
      <w:bookmarkStart w:id="0" w:name="_Ref280348156"/>
      <w:r>
        <w:t>Acknowlegements</w:t>
      </w:r>
    </w:p>
    <w:p w:rsidR="00BC10E1" w:rsidRDefault="00782584">
      <w:pPr>
        <w:jc w:val="both"/>
        <w:rPr>
          <w:sz w:val="20"/>
          <w:lang w:val="en-GB"/>
        </w:rPr>
      </w:pPr>
      <w:r w:rsidRPr="00782584">
        <w:rPr>
          <w:sz w:val="20"/>
          <w:lang w:val="en-GB"/>
        </w:rPr>
        <w:t xml:space="preserve">This work was </w:t>
      </w:r>
      <w:r w:rsidR="00F810B7">
        <w:rPr>
          <w:sz w:val="20"/>
          <w:lang w:val="en-GB"/>
        </w:rPr>
        <w:t xml:space="preserve">supported by the Fermi National </w:t>
      </w:r>
      <w:r w:rsidRPr="00782584">
        <w:rPr>
          <w:sz w:val="20"/>
          <w:lang w:val="en-GB"/>
        </w:rPr>
        <w:t>Accelerator Laboratory, which is operated by the Fermi Research Alliance, LLC, under contract No. DE-AC02-07CH11359</w:t>
      </w:r>
    </w:p>
    <w:bookmarkEnd w:id="0"/>
    <w:p w:rsidR="00D96460" w:rsidRDefault="00F810B7" w:rsidP="00520DF6">
      <w:pPr>
        <w:pStyle w:val="Heading1"/>
      </w:pPr>
      <w:r>
        <w:t>References</w:t>
      </w:r>
    </w:p>
    <w:p w:rsidR="009B6725" w:rsidRDefault="00094803" w:rsidP="00D742F7">
      <w:pPr>
        <w:pStyle w:val="Reference"/>
        <w:jc w:val="left"/>
      </w:pPr>
      <w:fldSimple w:instr=" SEQ References \* MERGEFORMAT ">
        <w:r w:rsidR="00D742F7">
          <w:rPr>
            <w:noProof/>
          </w:rPr>
          <w:t>1</w:t>
        </w:r>
      </w:fldSimple>
      <w:r w:rsidR="00D742F7">
        <w:t>.</w:t>
      </w:r>
      <w:r w:rsidR="00D742F7">
        <w:tab/>
      </w:r>
      <w:bookmarkStart w:id="1" w:name="Name1"/>
      <w:r w:rsidR="009B6725" w:rsidRPr="009B6725">
        <w:t xml:space="preserve">Jose Luis Alcaraz-Aunion </w:t>
      </w:r>
      <w:r w:rsidR="009B6725" w:rsidRPr="009B6725">
        <w:rPr>
          <w:i/>
        </w:rPr>
        <w:t>et al.</w:t>
      </w:r>
      <w:r w:rsidR="009B6725" w:rsidRPr="009B6725">
        <w:t>,[SciBooNE Collaboration], AIP Conf. Proc. 1189:145-150, 2009. arXiv:0909.5647 [hep-ex]</w:t>
      </w:r>
    </w:p>
    <w:p w:rsidR="00D742F7" w:rsidRDefault="00094803" w:rsidP="00D742F7">
      <w:pPr>
        <w:pStyle w:val="Reference"/>
        <w:jc w:val="left"/>
      </w:pPr>
      <w:fldSimple w:instr=" SEQ References \* MERGEFORMAT ">
        <w:r w:rsidR="00D742F7">
          <w:rPr>
            <w:noProof/>
          </w:rPr>
          <w:t>2</w:t>
        </w:r>
      </w:fldSimple>
      <w:r w:rsidR="00D742F7">
        <w:t>.</w:t>
      </w:r>
      <w:r w:rsidR="00D742F7">
        <w:tab/>
      </w:r>
      <w:bookmarkEnd w:id="1"/>
      <w:r w:rsidR="009B6725" w:rsidRPr="009B6725">
        <w:t xml:space="preserve">A. A. Aguilar-Arevalo </w:t>
      </w:r>
      <w:r w:rsidR="009B6725" w:rsidRPr="009B6725">
        <w:rPr>
          <w:i/>
        </w:rPr>
        <w:t>et al.</w:t>
      </w:r>
      <w:r w:rsidR="009B6725" w:rsidRPr="009B6725">
        <w:t xml:space="preserve">, [MiniBooNE Collaboration] Phys. Rev. </w:t>
      </w:r>
      <w:r w:rsidR="009B6725" w:rsidRPr="009B6725">
        <w:rPr>
          <w:b/>
        </w:rPr>
        <w:t>D81</w:t>
      </w:r>
      <w:r w:rsidR="009B6725" w:rsidRPr="009B6725">
        <w:t>:  092005, 2010. arXiv:1002.2680[hep-ex]</w:t>
      </w:r>
    </w:p>
    <w:p w:rsidR="009B6725" w:rsidRDefault="00094803" w:rsidP="00D742F7">
      <w:pPr>
        <w:pStyle w:val="Reference"/>
        <w:jc w:val="left"/>
      </w:pPr>
      <w:fldSimple w:instr=" SEQ References \* MERGEFORMAT ">
        <w:r w:rsidR="00D742F7">
          <w:rPr>
            <w:noProof/>
          </w:rPr>
          <w:t>3</w:t>
        </w:r>
      </w:fldSimple>
      <w:r w:rsidR="00D742F7">
        <w:t>.</w:t>
      </w:r>
      <w:r w:rsidR="00D742F7">
        <w:tab/>
      </w:r>
      <w:r w:rsidR="009B6725" w:rsidRPr="009B6725">
        <w:t xml:space="preserve">V Lyubushkin </w:t>
      </w:r>
      <w:r w:rsidR="009B6725" w:rsidRPr="009B6725">
        <w:rPr>
          <w:i/>
        </w:rPr>
        <w:t>et al.</w:t>
      </w:r>
      <w:r w:rsidR="009B6725" w:rsidRPr="009B6725">
        <w:t>, [NOMAD Collaboration] Eur. Phys. J.</w:t>
      </w:r>
      <w:r w:rsidR="009B6725" w:rsidRPr="009B6725">
        <w:rPr>
          <w:b/>
        </w:rPr>
        <w:t>C63</w:t>
      </w:r>
      <w:r w:rsidR="009B6725" w:rsidRPr="009B6725">
        <w:t>: 355-381,  2009.  arXiv:0812.4543 [hep-ex]</w:t>
      </w:r>
    </w:p>
    <w:p w:rsidR="00D742F7" w:rsidRDefault="009B6725" w:rsidP="009B6725">
      <w:pPr>
        <w:pStyle w:val="Reference"/>
        <w:jc w:val="left"/>
      </w:pPr>
      <w:r>
        <w:t xml:space="preserve"> </w:t>
      </w:r>
      <w:fldSimple w:instr=" SEQ References \* MERGEFORMAT ">
        <w:r w:rsidR="00D742F7">
          <w:rPr>
            <w:noProof/>
          </w:rPr>
          <w:t>4</w:t>
        </w:r>
      </w:fldSimple>
      <w:r w:rsidR="00AF3A67">
        <w:t>.</w:t>
      </w:r>
      <w:r w:rsidR="00AF3A67">
        <w:tab/>
      </w:r>
      <w:r w:rsidRPr="009B6725">
        <w:t>Kopp, S.,  FERMILAB-CONF-05-093-AD,   arxiv:[physics]0508001</w:t>
      </w:r>
    </w:p>
    <w:p w:rsidR="00D742F7" w:rsidRDefault="009B6725" w:rsidP="00D742F7">
      <w:pPr>
        <w:pStyle w:val="Reference"/>
        <w:jc w:val="left"/>
      </w:pPr>
      <w:r>
        <w:t>5</w:t>
      </w:r>
      <w:r w:rsidR="00D742F7">
        <w:t>.</w:t>
      </w:r>
      <w:r w:rsidR="00D742F7">
        <w:tab/>
      </w:r>
      <w:r w:rsidR="00385AC6" w:rsidRPr="00385AC6">
        <w:t xml:space="preserve">D. G. Michaels </w:t>
      </w:r>
      <w:r w:rsidR="00385AC6" w:rsidRPr="00385AC6">
        <w:rPr>
          <w:i/>
        </w:rPr>
        <w:t>et al</w:t>
      </w:r>
      <w:r w:rsidR="00385AC6" w:rsidRPr="00385AC6">
        <w:t>, [MINOS Collaboration]</w:t>
      </w:r>
      <w:r w:rsidR="00385AC6">
        <w:t xml:space="preserve"> Nucl. Instrum. Meth. </w:t>
      </w:r>
      <w:r w:rsidR="00385AC6" w:rsidRPr="00385AC6">
        <w:rPr>
          <w:b/>
        </w:rPr>
        <w:t>A596</w:t>
      </w:r>
      <w:r w:rsidR="00385AC6" w:rsidRPr="00385AC6">
        <w:t>: 190-228, 2008.</w:t>
      </w:r>
    </w:p>
    <w:p w:rsidR="00CC4DA8" w:rsidRDefault="00CC4DA8" w:rsidP="00385AC6">
      <w:pPr>
        <w:pStyle w:val="Reference"/>
      </w:pPr>
    </w:p>
    <w:sectPr w:rsidR="00CC4DA8" w:rsidSect="00FF332C">
      <w:type w:val="continuous"/>
      <w:pgSz w:w="12240" w:h="15840"/>
      <w:pgMar w:top="1454" w:right="1469" w:bottom="1454" w:left="1469" w:header="720" w:footer="720" w:gutter="0"/>
      <w:cols w:num="2" w:space="4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83" w:rsidRDefault="00003E83" w:rsidP="00F55D49">
      <w:r>
        <w:separator/>
      </w:r>
    </w:p>
  </w:endnote>
  <w:endnote w:type="continuationSeparator" w:id="0">
    <w:p w:rsidR="00003E83" w:rsidRDefault="00003E83" w:rsidP="00F5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83" w:rsidRDefault="00003E83" w:rsidP="00F55D49">
      <w:r>
        <w:separator/>
      </w:r>
    </w:p>
  </w:footnote>
  <w:footnote w:type="continuationSeparator" w:id="0">
    <w:p w:rsidR="00003E83" w:rsidRDefault="00003E83" w:rsidP="00F5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4AD"/>
    <w:multiLevelType w:val="singleLevel"/>
    <w:tmpl w:val="D360B0D2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1">
    <w:nsid w:val="55D0513F"/>
    <w:multiLevelType w:val="multilevel"/>
    <w:tmpl w:val="DC36923A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attachedTemplate r:id="rId1"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14"/>
    <w:rsid w:val="00002307"/>
    <w:rsid w:val="00003E83"/>
    <w:rsid w:val="00004301"/>
    <w:rsid w:val="000166F6"/>
    <w:rsid w:val="0003744E"/>
    <w:rsid w:val="00060767"/>
    <w:rsid w:val="000665DB"/>
    <w:rsid w:val="00072F21"/>
    <w:rsid w:val="00075DB9"/>
    <w:rsid w:val="000845C6"/>
    <w:rsid w:val="000927E0"/>
    <w:rsid w:val="0009469D"/>
    <w:rsid w:val="00094803"/>
    <w:rsid w:val="000A145C"/>
    <w:rsid w:val="000C669D"/>
    <w:rsid w:val="000E57DF"/>
    <w:rsid w:val="000F084E"/>
    <w:rsid w:val="00104DB0"/>
    <w:rsid w:val="00127255"/>
    <w:rsid w:val="0013132B"/>
    <w:rsid w:val="00131A8F"/>
    <w:rsid w:val="001368F5"/>
    <w:rsid w:val="00141922"/>
    <w:rsid w:val="00145190"/>
    <w:rsid w:val="00161FFC"/>
    <w:rsid w:val="0016734A"/>
    <w:rsid w:val="001757A6"/>
    <w:rsid w:val="001A0E39"/>
    <w:rsid w:val="001B122E"/>
    <w:rsid w:val="001B5AFD"/>
    <w:rsid w:val="001C52D0"/>
    <w:rsid w:val="001F2DE6"/>
    <w:rsid w:val="002179DB"/>
    <w:rsid w:val="00230B91"/>
    <w:rsid w:val="002364C5"/>
    <w:rsid w:val="00257C03"/>
    <w:rsid w:val="00260359"/>
    <w:rsid w:val="00265B8C"/>
    <w:rsid w:val="00266AB0"/>
    <w:rsid w:val="00272716"/>
    <w:rsid w:val="002826EA"/>
    <w:rsid w:val="002C445A"/>
    <w:rsid w:val="002C6B8A"/>
    <w:rsid w:val="002D0898"/>
    <w:rsid w:val="002D2061"/>
    <w:rsid w:val="002D7ADB"/>
    <w:rsid w:val="002E1014"/>
    <w:rsid w:val="003027A5"/>
    <w:rsid w:val="00311514"/>
    <w:rsid w:val="00370D0A"/>
    <w:rsid w:val="00373B0D"/>
    <w:rsid w:val="003833D5"/>
    <w:rsid w:val="003852BA"/>
    <w:rsid w:val="00385AC6"/>
    <w:rsid w:val="0039047E"/>
    <w:rsid w:val="00391AD9"/>
    <w:rsid w:val="00395679"/>
    <w:rsid w:val="003B6550"/>
    <w:rsid w:val="003C29BE"/>
    <w:rsid w:val="003D01CD"/>
    <w:rsid w:val="00415D36"/>
    <w:rsid w:val="004400CC"/>
    <w:rsid w:val="00465DB0"/>
    <w:rsid w:val="00477C75"/>
    <w:rsid w:val="0048402E"/>
    <w:rsid w:val="00490A17"/>
    <w:rsid w:val="00493A86"/>
    <w:rsid w:val="00494557"/>
    <w:rsid w:val="00495E8E"/>
    <w:rsid w:val="004B4D3F"/>
    <w:rsid w:val="004C22B2"/>
    <w:rsid w:val="004C645B"/>
    <w:rsid w:val="004E1B93"/>
    <w:rsid w:val="004F31E5"/>
    <w:rsid w:val="00507C8E"/>
    <w:rsid w:val="00515BC2"/>
    <w:rsid w:val="00520DF6"/>
    <w:rsid w:val="00524FC7"/>
    <w:rsid w:val="00526C91"/>
    <w:rsid w:val="00532A43"/>
    <w:rsid w:val="0053505C"/>
    <w:rsid w:val="00554C6E"/>
    <w:rsid w:val="0056062B"/>
    <w:rsid w:val="00561C15"/>
    <w:rsid w:val="005651C5"/>
    <w:rsid w:val="00570A27"/>
    <w:rsid w:val="005B5F39"/>
    <w:rsid w:val="005C7A12"/>
    <w:rsid w:val="005F3182"/>
    <w:rsid w:val="00601F22"/>
    <w:rsid w:val="00610125"/>
    <w:rsid w:val="00624FCB"/>
    <w:rsid w:val="00634A15"/>
    <w:rsid w:val="00647C29"/>
    <w:rsid w:val="00654B13"/>
    <w:rsid w:val="0066102B"/>
    <w:rsid w:val="006614C9"/>
    <w:rsid w:val="00665AB3"/>
    <w:rsid w:val="00667C2C"/>
    <w:rsid w:val="006950E3"/>
    <w:rsid w:val="006A77EF"/>
    <w:rsid w:val="006D23C4"/>
    <w:rsid w:val="006D3CFA"/>
    <w:rsid w:val="006D4EC0"/>
    <w:rsid w:val="006D6468"/>
    <w:rsid w:val="006D6BC3"/>
    <w:rsid w:val="006E0814"/>
    <w:rsid w:val="006E7A98"/>
    <w:rsid w:val="006F6876"/>
    <w:rsid w:val="00704111"/>
    <w:rsid w:val="0072621B"/>
    <w:rsid w:val="00746668"/>
    <w:rsid w:val="00764538"/>
    <w:rsid w:val="0078233F"/>
    <w:rsid w:val="00782584"/>
    <w:rsid w:val="007C11EA"/>
    <w:rsid w:val="007C56A1"/>
    <w:rsid w:val="007C62C8"/>
    <w:rsid w:val="007E24A7"/>
    <w:rsid w:val="007F76AA"/>
    <w:rsid w:val="008213BD"/>
    <w:rsid w:val="008232AB"/>
    <w:rsid w:val="00826623"/>
    <w:rsid w:val="008455E4"/>
    <w:rsid w:val="00847B62"/>
    <w:rsid w:val="0086154E"/>
    <w:rsid w:val="0087606F"/>
    <w:rsid w:val="00876F40"/>
    <w:rsid w:val="00884A94"/>
    <w:rsid w:val="00884D90"/>
    <w:rsid w:val="0089379D"/>
    <w:rsid w:val="008A6197"/>
    <w:rsid w:val="008C50CA"/>
    <w:rsid w:val="008D51DC"/>
    <w:rsid w:val="008E0675"/>
    <w:rsid w:val="008F486A"/>
    <w:rsid w:val="008F7E30"/>
    <w:rsid w:val="0090171F"/>
    <w:rsid w:val="0094425F"/>
    <w:rsid w:val="00947D6C"/>
    <w:rsid w:val="009531EB"/>
    <w:rsid w:val="00957258"/>
    <w:rsid w:val="00977513"/>
    <w:rsid w:val="00990A72"/>
    <w:rsid w:val="009A1C9C"/>
    <w:rsid w:val="009A32E5"/>
    <w:rsid w:val="009A4041"/>
    <w:rsid w:val="009A42BB"/>
    <w:rsid w:val="009B0D16"/>
    <w:rsid w:val="009B6725"/>
    <w:rsid w:val="009B6EE1"/>
    <w:rsid w:val="009E18C7"/>
    <w:rsid w:val="00A05C7F"/>
    <w:rsid w:val="00A05D15"/>
    <w:rsid w:val="00A27F7F"/>
    <w:rsid w:val="00A554F6"/>
    <w:rsid w:val="00A62300"/>
    <w:rsid w:val="00A62C27"/>
    <w:rsid w:val="00AB2FDF"/>
    <w:rsid w:val="00AD10C2"/>
    <w:rsid w:val="00AE692A"/>
    <w:rsid w:val="00AF3A67"/>
    <w:rsid w:val="00B10951"/>
    <w:rsid w:val="00B530B7"/>
    <w:rsid w:val="00B70F16"/>
    <w:rsid w:val="00B81984"/>
    <w:rsid w:val="00B84AE1"/>
    <w:rsid w:val="00BA121B"/>
    <w:rsid w:val="00BB31B9"/>
    <w:rsid w:val="00BB4B20"/>
    <w:rsid w:val="00BB5137"/>
    <w:rsid w:val="00BC10E1"/>
    <w:rsid w:val="00BE22FA"/>
    <w:rsid w:val="00BE403E"/>
    <w:rsid w:val="00C074A5"/>
    <w:rsid w:val="00C20DDE"/>
    <w:rsid w:val="00C535A6"/>
    <w:rsid w:val="00C57C5A"/>
    <w:rsid w:val="00C62CD3"/>
    <w:rsid w:val="00C760A3"/>
    <w:rsid w:val="00C8064C"/>
    <w:rsid w:val="00CA4514"/>
    <w:rsid w:val="00CC4DA8"/>
    <w:rsid w:val="00CD18E8"/>
    <w:rsid w:val="00D14816"/>
    <w:rsid w:val="00D243F2"/>
    <w:rsid w:val="00D54F6A"/>
    <w:rsid w:val="00D742F7"/>
    <w:rsid w:val="00D96460"/>
    <w:rsid w:val="00DA7E24"/>
    <w:rsid w:val="00DB10B7"/>
    <w:rsid w:val="00DC4AD4"/>
    <w:rsid w:val="00DF5461"/>
    <w:rsid w:val="00E06879"/>
    <w:rsid w:val="00E10E16"/>
    <w:rsid w:val="00E11670"/>
    <w:rsid w:val="00E41238"/>
    <w:rsid w:val="00E448AC"/>
    <w:rsid w:val="00E5675A"/>
    <w:rsid w:val="00E60F90"/>
    <w:rsid w:val="00E84CE2"/>
    <w:rsid w:val="00E939FF"/>
    <w:rsid w:val="00E95BC0"/>
    <w:rsid w:val="00EB0F39"/>
    <w:rsid w:val="00EB70F9"/>
    <w:rsid w:val="00EC2EBC"/>
    <w:rsid w:val="00ED4D24"/>
    <w:rsid w:val="00EF1A34"/>
    <w:rsid w:val="00F05008"/>
    <w:rsid w:val="00F55A96"/>
    <w:rsid w:val="00F55D49"/>
    <w:rsid w:val="00F610BC"/>
    <w:rsid w:val="00F66701"/>
    <w:rsid w:val="00F765B4"/>
    <w:rsid w:val="00F810B7"/>
    <w:rsid w:val="00F9175C"/>
    <w:rsid w:val="00F921EF"/>
    <w:rsid w:val="00FA2D55"/>
    <w:rsid w:val="00FA6381"/>
    <w:rsid w:val="00FC4179"/>
    <w:rsid w:val="00FF332C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2C"/>
    <w:rPr>
      <w:sz w:val="24"/>
    </w:rPr>
  </w:style>
  <w:style w:type="paragraph" w:styleId="Heading1">
    <w:name w:val="heading 1"/>
    <w:basedOn w:val="Normal"/>
    <w:next w:val="Normal"/>
    <w:qFormat/>
    <w:rsid w:val="00FF332C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F332C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332C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F332C"/>
    <w:rPr>
      <w:sz w:val="16"/>
    </w:rPr>
  </w:style>
  <w:style w:type="paragraph" w:customStyle="1" w:styleId="PaperTitle">
    <w:name w:val="Paper Title"/>
    <w:basedOn w:val="Normal"/>
    <w:rsid w:val="00FF332C"/>
    <w:pPr>
      <w:spacing w:before="96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FF332C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FF332C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FF332C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FF332C"/>
    <w:pPr>
      <w:ind w:firstLine="274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332C"/>
    <w:rPr>
      <w:vertAlign w:val="superscript"/>
    </w:rPr>
  </w:style>
  <w:style w:type="paragraph" w:styleId="EndnoteText">
    <w:name w:val="endnote text"/>
    <w:basedOn w:val="Normal"/>
    <w:semiHidden/>
    <w:rsid w:val="00FF332C"/>
    <w:rPr>
      <w:sz w:val="20"/>
    </w:rPr>
  </w:style>
  <w:style w:type="paragraph" w:customStyle="1" w:styleId="FigureCaption">
    <w:name w:val="FigureCaption"/>
    <w:basedOn w:val="Paragraph"/>
    <w:next w:val="Paragraph"/>
    <w:rsid w:val="00FF332C"/>
    <w:pPr>
      <w:ind w:firstLine="0"/>
    </w:pPr>
    <w:rPr>
      <w:sz w:val="18"/>
    </w:rPr>
  </w:style>
  <w:style w:type="paragraph" w:customStyle="1" w:styleId="INTRODUCTION">
    <w:name w:val="INTRODUCTION"/>
    <w:basedOn w:val="Heading1"/>
    <w:rsid w:val="00FF332C"/>
    <w:pPr>
      <w:spacing w:before="0"/>
    </w:pPr>
  </w:style>
  <w:style w:type="character" w:styleId="EndnoteReference">
    <w:name w:val="endnote reference"/>
    <w:basedOn w:val="DefaultParagraphFont"/>
    <w:semiHidden/>
    <w:rsid w:val="00FF332C"/>
    <w:rPr>
      <w:vertAlign w:val="superscript"/>
    </w:rPr>
  </w:style>
  <w:style w:type="paragraph" w:customStyle="1" w:styleId="Reference">
    <w:name w:val="Reference"/>
    <w:basedOn w:val="Paragraph"/>
    <w:rsid w:val="00FF332C"/>
    <w:pPr>
      <w:ind w:left="274" w:hanging="274"/>
    </w:pPr>
    <w:rPr>
      <w:sz w:val="18"/>
    </w:rPr>
  </w:style>
  <w:style w:type="paragraph" w:customStyle="1" w:styleId="Figure">
    <w:name w:val="Figure"/>
    <w:basedOn w:val="Normal"/>
    <w:rsid w:val="00FF332C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FF332C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FF332C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FF332C"/>
    <w:pPr>
      <w:spacing w:after="120"/>
      <w:ind w:left="288" w:right="288"/>
    </w:pPr>
    <w:rPr>
      <w:b/>
      <w:sz w:val="20"/>
    </w:rPr>
  </w:style>
  <w:style w:type="character" w:styleId="Hyperlink">
    <w:name w:val="Hyperlink"/>
    <w:basedOn w:val="DefaultParagraphFont"/>
    <w:rsid w:val="00FF332C"/>
    <w:rPr>
      <w:color w:val="0000FF"/>
      <w:u w:val="single"/>
    </w:rPr>
  </w:style>
  <w:style w:type="paragraph" w:styleId="BalloonText">
    <w:name w:val="Balloon Text"/>
    <w:basedOn w:val="Normal"/>
    <w:semiHidden/>
    <w:rsid w:val="00FF3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2B2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4AD4"/>
    <w:rPr>
      <w:b/>
      <w:bCs/>
      <w:sz w:val="20"/>
    </w:rPr>
  </w:style>
  <w:style w:type="paragraph" w:styleId="Revision">
    <w:name w:val="Revision"/>
    <w:hidden/>
    <w:uiPriority w:val="99"/>
    <w:semiHidden/>
    <w:rsid w:val="008615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rris\My%20Documents\Talks\Neutrino%202010\NuFact10%20Proceedings\nf_proc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Hyl</b:Tag>
    <b:SourceType>ConferenceProceedings</b:SourceType>
    <b:Guid>{1D2E8549-1D06-4E87-A1D4-03437739B2A3}</b:Guid>
    <b:LCID>0</b:LCID>
    <b:Author>
      <b:Author>
        <b:NameList>
          <b:Person>
            <b:Last>Hylen</b:Last>
            <b:First>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F4FA387-88F4-45CD-965A-CBD19CF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nf_proc_v1</Template>
  <TotalTime>3</TotalTime>
  <Pages>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12466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/>
  <dc:creator>Deborah Harris</dc:creator>
  <cp:keywords/>
  <cp:lastModifiedBy>Deborah Harris</cp:lastModifiedBy>
  <cp:revision>5</cp:revision>
  <cp:lastPrinted>2010-12-16T23:29:00Z</cp:lastPrinted>
  <dcterms:created xsi:type="dcterms:W3CDTF">2011-02-28T04:59:00Z</dcterms:created>
  <dcterms:modified xsi:type="dcterms:W3CDTF">2011-02-28T06:01:00Z</dcterms:modified>
</cp:coreProperties>
</file>